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1169">
      <w:pPr>
        <w:pStyle w:val="3"/>
        <w:spacing w:after="0" w:line="5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515CA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陕西省建设工程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  <w:lang w:eastAsia="zh-CN"/>
        </w:rPr>
        <w:t>“长安杯”</w:t>
      </w: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申报工程规模要求</w:t>
      </w:r>
    </w:p>
    <w:p w14:paraId="6A0CA6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  <w:t>房屋建筑工程</w:t>
      </w:r>
    </w:p>
    <w:p w14:paraId="4C99E1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座以上的体育场；</w:t>
      </w:r>
    </w:p>
    <w:p w14:paraId="14672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2.2500座以上的体育馆；</w:t>
      </w:r>
    </w:p>
    <w:p w14:paraId="673EE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3.1500座以上的游泳馆；</w:t>
      </w:r>
    </w:p>
    <w:p w14:paraId="2C75F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4.800座以上的影剧院；</w:t>
      </w:r>
    </w:p>
    <w:p w14:paraId="3F599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5.高度200米以上的电视发射塔；</w:t>
      </w:r>
    </w:p>
    <w:p w14:paraId="0FFC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6.建筑面积1500平方米以上的单体或10000平方米以上的群体古建筑重建工程；</w:t>
      </w:r>
    </w:p>
    <w:p w14:paraId="033B4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1-6项未列入的，建筑面积2万平米以上的单体工程；4万平米以上的群体工程</w:t>
      </w:r>
      <w:r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  <w:t>。</w:t>
      </w:r>
    </w:p>
    <w:p w14:paraId="5BF0A1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  <w:t>二、工业、交通、水利工程</w:t>
      </w:r>
    </w:p>
    <w:p w14:paraId="35E07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工业工程</w:t>
      </w:r>
    </w:p>
    <w:p w14:paraId="49463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投资1亿元以上的各类工业项目。</w:t>
      </w:r>
    </w:p>
    <w:p w14:paraId="3F15C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交通工程</w:t>
      </w:r>
    </w:p>
    <w:p w14:paraId="24FB8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1.铁路工程</w:t>
      </w:r>
    </w:p>
    <w:p w14:paraId="27658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（1）长度50公里以上的单线或30公里以上的双线（多线）新建铁路综合工程；</w:t>
      </w:r>
    </w:p>
    <w:p w14:paraId="70804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（2）连续长度80公里以上的扩建铁路（含增建二线）综合工程；</w:t>
      </w:r>
    </w:p>
    <w:p w14:paraId="78019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（3）地铁站、大型编组站、集装箱中心站、动车段综合工程；</w:t>
      </w:r>
    </w:p>
    <w:p w14:paraId="713E3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（4）长度1500米以上的铁路特大桥或采用新技术、新材料、新工艺，结构复杂，科技含量高的铁路大桥；</w:t>
      </w:r>
    </w:p>
    <w:p w14:paraId="6498B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（5）长度3000米以上的单线铁路隧道、2000米以上的双线铁路隧道或1000米以上的多线铁路隧道；</w:t>
      </w:r>
    </w:p>
    <w:p w14:paraId="30FA2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（6）长度100公里以上的铁路电气化、通信信号、列控工程；</w:t>
      </w:r>
    </w:p>
    <w:p w14:paraId="0C0BA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（7）投资1亿元以上，采用新技术、新工艺，具有示范性，经济、社会效益显著的其它铁路工程。</w:t>
      </w:r>
    </w:p>
    <w:p w14:paraId="62D6D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2.公路水运工程</w:t>
      </w:r>
    </w:p>
    <w:p w14:paraId="73F8C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（1）全长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米以上或单跨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米以上的独立特大桥或独立大型互通立交桥；</w:t>
      </w:r>
    </w:p>
    <w:p w14:paraId="7EDF6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（2）长度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米以上的公路隧道；</w:t>
      </w:r>
    </w:p>
    <w:p w14:paraId="604F4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（3）长度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公里以上的高速公路；</w:t>
      </w:r>
    </w:p>
    <w:p w14:paraId="1FB31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（4）长度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公里以上的一级公路；</w:t>
      </w:r>
    </w:p>
    <w:p w14:paraId="03DDD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（5）投资5000万元以上的大型</w:t>
      </w:r>
      <w:r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  <w:t>桥梁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及其它大型交通工程；</w:t>
      </w:r>
    </w:p>
    <w:p w14:paraId="426D4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（6）投资1亿元以上的水运工程。</w:t>
      </w:r>
    </w:p>
    <w:p w14:paraId="7C3A3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.民航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工程</w:t>
      </w:r>
    </w:p>
    <w:p w14:paraId="76607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机场飞行区等级4D以上的工程。</w:t>
      </w:r>
    </w:p>
    <w:p w14:paraId="62CB1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.通信建设工程</w:t>
      </w:r>
    </w:p>
    <w:p w14:paraId="54DDA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投资在1亿元以上的建设项目。</w:t>
      </w:r>
    </w:p>
    <w:p w14:paraId="1DE20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(三)水利工程</w:t>
      </w:r>
    </w:p>
    <w:p w14:paraId="2BB27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投资1亿元以上的水利工程。</w:t>
      </w:r>
    </w:p>
    <w:p w14:paraId="2C9B56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  <w:t>三、市政和园林工程</w:t>
      </w:r>
    </w:p>
    <w:p w14:paraId="0759A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桥面面积1</w:t>
      </w:r>
      <w:r>
        <w:rPr>
          <w:rFonts w:hint="eastAsia" w:ascii="仿宋_GB2312" w:hAnsi="仿宋_GB2312" w:eastAsia="仿宋_GB2312" w:cs="仿宋_GB2312"/>
          <w:sz w:val="32"/>
          <w:szCs w:val="32"/>
        </w:rPr>
        <w:t>.5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万平方米以上的城市立交桥或10万平方米以上的城市道路工程；</w:t>
      </w:r>
    </w:p>
    <w:p w14:paraId="06A5E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全长400米以上或单跨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0米以上的桥梁工程；</w:t>
      </w:r>
    </w:p>
    <w:p w14:paraId="12066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长度400米以上的城市跨河桥；</w:t>
      </w:r>
    </w:p>
    <w:p w14:paraId="15146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长度3公里以上的轨道交通工程；</w:t>
      </w:r>
    </w:p>
    <w:p w14:paraId="59026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(五)日供水5万吨以上的供水厂或日处理5万吨以上的污水处理厂；</w:t>
      </w:r>
    </w:p>
    <w:p w14:paraId="31EC1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(六)占地3万平方米以上且建筑面积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万平方米以上的园林建筑工程；</w:t>
      </w:r>
    </w:p>
    <w:p w14:paraId="349ED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(七)投资1亿元以上的其它市政园林工程。</w:t>
      </w:r>
    </w:p>
    <w:p w14:paraId="35FA45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GB" w:eastAsia="zh-CN" w:bidi="ar-SA"/>
        </w:rPr>
        <w:t>四、执行标准。</w:t>
      </w:r>
    </w:p>
    <w:p w14:paraId="16A6F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西安市（除周至县、蓝田县外）项目按以上一、二、三指标的100%执行，其余各设区市（含杨凌）项目按以上指标的80%执行，各县（市）项目按以上指标的50%执行。民营建筑施工企业申报的项目一律按以上一、二、三指标的50%执行。</w:t>
      </w:r>
    </w:p>
    <w:p w14:paraId="6C807305">
      <w:pPr>
        <w:pStyle w:val="4"/>
        <w:rPr>
          <w:rFonts w:hint="eastAsia" w:ascii="黑体" w:hAnsi="黑体" w:eastAsia="黑体" w:cs="仿宋_GB2312"/>
          <w:bCs/>
          <w:sz w:val="32"/>
          <w:szCs w:val="32"/>
        </w:rPr>
      </w:pPr>
    </w:p>
    <w:p w14:paraId="035D42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6CF6D-3692-40FF-8875-A51D6D6342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9D9928D-B539-4C03-95EB-D3557BB24D0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AFF7931D-8BA9-4E02-A3EE-259DC88714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886402F-B0D2-493D-B3EC-CC9D4834C65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A05EE30-FB82-4B56-965D-08C8FFA211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2BFB6"/>
    <w:multiLevelType w:val="singleLevel"/>
    <w:tmpl w:val="3222BF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2026-01-05T04:15:40Z</dcterms:created>
  <dc:creator>Administrator</dc:creator>
  <cp:lastModifiedBy>〰</cp:lastModifiedBy>
  <dcterms:modified xsi:type="dcterms:W3CDTF">2026-01-05T04:15:46Z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46F323AA27374961A17B5E28EBE5A2CD_12</vt:lpwstr>
  </property>
</Properties>
</file>