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kinsoku/>
        <w:wordWrap/>
        <w:overflowPunct/>
        <w:topLinePunct w:val="0"/>
        <w:autoSpaceDE/>
        <w:autoSpaceDN/>
        <w:bidi w:val="0"/>
        <w:adjustRightInd/>
        <w:snapToGrid/>
        <w:spacing w:beforeAutospacing="0" w:afterAutospacing="0" w:line="600" w:lineRule="exact"/>
        <w:jc w:val="center"/>
        <w:textAlignment w:val="auto"/>
        <w:outlineLvl w:val="9"/>
        <w:rPr>
          <w:rFonts w:ascii="新宋体" w:hAnsi="新宋体" w:eastAsia="新宋体"/>
          <w:b/>
          <w:bCs/>
          <w:sz w:val="40"/>
          <w:szCs w:val="40"/>
        </w:rPr>
      </w:pPr>
    </w:p>
    <w:p>
      <w:pPr>
        <w:pStyle w:val="6"/>
        <w:keepNext w:val="0"/>
        <w:keepLines w:val="0"/>
        <w:pageBreakBefore w:val="0"/>
        <w:kinsoku/>
        <w:wordWrap/>
        <w:overflowPunct/>
        <w:topLinePunct w:val="0"/>
        <w:autoSpaceDE/>
        <w:autoSpaceDN/>
        <w:bidi w:val="0"/>
        <w:adjustRightInd/>
        <w:snapToGrid/>
        <w:spacing w:beforeAutospacing="0" w:afterAutospacing="0" w:line="600" w:lineRule="exact"/>
        <w:jc w:val="center"/>
        <w:textAlignment w:val="auto"/>
        <w:outlineLvl w:val="9"/>
        <w:rPr>
          <w:rFonts w:ascii="方正小标宋简体" w:hAnsi="新宋体" w:eastAsia="方正小标宋简体"/>
          <w:bCs/>
          <w:sz w:val="44"/>
          <w:szCs w:val="44"/>
        </w:rPr>
      </w:pPr>
      <w:bookmarkStart w:id="0" w:name="_GoBack"/>
      <w:r>
        <w:rPr>
          <w:rFonts w:hint="eastAsia" w:ascii="方正小标宋简体" w:hAnsi="新宋体" w:eastAsia="方正小标宋简体"/>
          <w:bCs/>
          <w:sz w:val="44"/>
          <w:szCs w:val="44"/>
        </w:rPr>
        <w:t>陕西省水利工程优质（仪祉）奖评选办法</w:t>
      </w:r>
      <w:bookmarkEnd w:id="0"/>
    </w:p>
    <w:p>
      <w:pPr>
        <w:pStyle w:val="6"/>
        <w:keepNext w:val="0"/>
        <w:keepLines w:val="0"/>
        <w:pageBreakBefore w:val="0"/>
        <w:kinsoku/>
        <w:wordWrap/>
        <w:overflowPunct/>
        <w:topLinePunct w:val="0"/>
        <w:autoSpaceDE/>
        <w:autoSpaceDN/>
        <w:bidi w:val="0"/>
        <w:adjustRightInd/>
        <w:snapToGrid/>
        <w:spacing w:beforeAutospacing="0" w:afterAutospacing="0" w:line="600" w:lineRule="exact"/>
        <w:jc w:val="center"/>
        <w:textAlignment w:val="auto"/>
        <w:outlineLvl w:val="9"/>
        <w:rPr>
          <w:rFonts w:hint="eastAsia" w:ascii="黑体" w:eastAsia="黑体"/>
          <w:bCs/>
          <w:sz w:val="32"/>
          <w:szCs w:val="32"/>
        </w:rPr>
      </w:pPr>
    </w:p>
    <w:p>
      <w:pPr>
        <w:pStyle w:val="6"/>
        <w:keepNext w:val="0"/>
        <w:keepLines w:val="0"/>
        <w:pageBreakBefore w:val="0"/>
        <w:kinsoku/>
        <w:wordWrap/>
        <w:overflowPunct/>
        <w:topLinePunct w:val="0"/>
        <w:autoSpaceDE/>
        <w:autoSpaceDN/>
        <w:bidi w:val="0"/>
        <w:adjustRightInd/>
        <w:snapToGrid/>
        <w:spacing w:beforeAutospacing="0" w:afterAutospacing="0" w:line="600" w:lineRule="exact"/>
        <w:jc w:val="center"/>
        <w:textAlignment w:val="auto"/>
        <w:outlineLvl w:val="9"/>
        <w:rPr>
          <w:rFonts w:ascii="黑体" w:eastAsia="黑体"/>
          <w:bCs/>
          <w:sz w:val="32"/>
          <w:szCs w:val="32"/>
        </w:rPr>
      </w:pPr>
      <w:r>
        <w:rPr>
          <w:rFonts w:hint="eastAsia" w:ascii="黑体" w:eastAsia="黑体"/>
          <w:bCs/>
          <w:sz w:val="32"/>
          <w:szCs w:val="32"/>
        </w:rPr>
        <w:t>第一章</w:t>
      </w:r>
      <w:r>
        <w:rPr>
          <w:rFonts w:hint="eastAsia" w:eastAsia="黑体"/>
          <w:bCs/>
          <w:sz w:val="32"/>
          <w:szCs w:val="32"/>
        </w:rPr>
        <w:t xml:space="preserve">  </w:t>
      </w:r>
      <w:r>
        <w:rPr>
          <w:rFonts w:hint="eastAsia" w:ascii="黑体" w:eastAsia="黑体"/>
          <w:bCs/>
          <w:sz w:val="32"/>
          <w:szCs w:val="32"/>
        </w:rPr>
        <w:t>总</w:t>
      </w:r>
      <w:r>
        <w:rPr>
          <w:rFonts w:hint="eastAsia" w:eastAsia="黑体"/>
          <w:bCs/>
          <w:sz w:val="32"/>
          <w:szCs w:val="32"/>
        </w:rPr>
        <w:t xml:space="preserve"> </w:t>
      </w:r>
      <w:r>
        <w:rPr>
          <w:rFonts w:hint="eastAsia" w:ascii="黑体" w:eastAsia="黑体"/>
          <w:bCs/>
          <w:sz w:val="32"/>
          <w:szCs w:val="32"/>
        </w:rPr>
        <w:t>则</w:t>
      </w:r>
    </w:p>
    <w:p>
      <w:pPr>
        <w:keepNext w:val="0"/>
        <w:keepLines w:val="0"/>
        <w:pageBreakBefore w:val="0"/>
        <w:tabs>
          <w:tab w:val="left" w:pos="0"/>
        </w:tabs>
        <w:kinsoku/>
        <w:wordWrap/>
        <w:overflowPunct/>
        <w:topLinePunct w:val="0"/>
        <w:autoSpaceDE/>
        <w:autoSpaceDN/>
        <w:bidi w:val="0"/>
        <w:adjustRightInd/>
        <w:snapToGrid/>
        <w:spacing w:beforeAutospacing="0" w:afterAutospacing="0" w:line="600" w:lineRule="exact"/>
        <w:ind w:firstLine="643" w:firstLineChars="200"/>
        <w:textAlignment w:val="auto"/>
        <w:outlineLvl w:val="9"/>
        <w:rPr>
          <w:rFonts w:ascii="仿宋_GB2312" w:eastAsia="仿宋_GB2312"/>
          <w:bCs/>
          <w:sz w:val="32"/>
          <w:szCs w:val="32"/>
        </w:rPr>
      </w:pPr>
      <w:r>
        <w:rPr>
          <w:rFonts w:hint="eastAsia" w:ascii="仿宋_GB2312" w:hAnsi="宋体" w:eastAsia="仿宋_GB2312"/>
          <w:b/>
          <w:bCs/>
          <w:sz w:val="32"/>
          <w:szCs w:val="32"/>
        </w:rPr>
        <w:t xml:space="preserve">第一条  </w:t>
      </w:r>
      <w:r>
        <w:rPr>
          <w:rFonts w:hint="eastAsia" w:ascii="仿宋_GB2312" w:hAnsi="宋体" w:eastAsia="仿宋_GB2312"/>
          <w:bCs/>
          <w:sz w:val="32"/>
          <w:szCs w:val="32"/>
        </w:rPr>
        <w:t>为贯彻落实党中央国务院《关于开展质量提升行动的指导意见》和陕西省委省政府有关质量强省战略，促进全省水利工程建设管理水平和工程建设质量的提高，依据《建设工程质量管理条例》以及水利工程质量管理的有关规定，</w:t>
      </w:r>
      <w:r>
        <w:rPr>
          <w:rFonts w:hint="eastAsia" w:ascii="仿宋_GB2312" w:hAnsi="宋体" w:eastAsia="仿宋_GB2312"/>
          <w:bCs/>
          <w:sz w:val="32"/>
          <w:szCs w:val="32"/>
          <w:lang w:val="en-US" w:eastAsia="zh-CN"/>
        </w:rPr>
        <w:t>结合我省实际，</w:t>
      </w:r>
      <w:r>
        <w:rPr>
          <w:rFonts w:hint="eastAsia" w:ascii="仿宋_GB2312" w:hAnsi="宋体" w:eastAsia="仿宋_GB2312"/>
          <w:bCs/>
          <w:sz w:val="32"/>
          <w:szCs w:val="32"/>
        </w:rPr>
        <w:t>制定本办法。</w:t>
      </w:r>
    </w:p>
    <w:p>
      <w:pPr>
        <w:pStyle w:val="2"/>
        <w:keepNext w:val="0"/>
        <w:keepLines w:val="0"/>
        <w:pageBreakBefore w:val="0"/>
        <w:kinsoku/>
        <w:wordWrap/>
        <w:overflowPunct/>
        <w:topLinePunct w:val="0"/>
        <w:autoSpaceDE/>
        <w:autoSpaceDN/>
        <w:bidi w:val="0"/>
        <w:adjustRightInd/>
        <w:snapToGrid/>
        <w:spacing w:beforeAutospacing="0" w:afterAutospacing="0" w:line="600" w:lineRule="exact"/>
        <w:ind w:firstLine="643" w:firstLineChars="200"/>
        <w:textAlignment w:val="auto"/>
        <w:outlineLvl w:val="9"/>
        <w:rPr>
          <w:rFonts w:hint="eastAsia" w:ascii="仿宋_GB2312" w:hAnsi="宋体" w:eastAsia="仿宋_GB2312" w:cs="Times New Roman"/>
          <w:bCs/>
          <w:kern w:val="2"/>
          <w:sz w:val="32"/>
          <w:szCs w:val="32"/>
          <w:lang w:val="en-US" w:eastAsia="zh-CN" w:bidi="ar-SA"/>
        </w:rPr>
      </w:pPr>
      <w:r>
        <w:rPr>
          <w:rFonts w:hint="eastAsia" w:ascii="仿宋_GB2312" w:hAnsi="宋体" w:eastAsia="仿宋_GB2312" w:cs="Times New Roman"/>
          <w:b/>
          <w:bCs/>
          <w:kern w:val="2"/>
          <w:sz w:val="32"/>
          <w:szCs w:val="32"/>
          <w:lang w:val="en-US" w:eastAsia="zh-CN" w:bidi="ar-SA"/>
        </w:rPr>
        <w:t>第二条</w:t>
      </w:r>
      <w:r>
        <w:rPr>
          <w:rFonts w:hint="eastAsia" w:ascii="仿宋_GB2312" w:hAnsi="宋体" w:eastAsia="仿宋_GB2312" w:cs="Times New Roman"/>
          <w:bCs/>
          <w:kern w:val="2"/>
          <w:sz w:val="32"/>
          <w:szCs w:val="32"/>
          <w:lang w:val="en-US" w:eastAsia="zh-CN" w:bidi="ar-SA"/>
        </w:rPr>
        <w:t xml:space="preserve">  陕西省水利工程优质（仪祉）奖（以下简称“仪祉工程奖”）是以工程质量为主，兼顾工程建设管理、技术创新、工程效益和社会影响等因素设置的优秀水利建设工程奖项。获奖工程应是建设规范、设计优秀、施工先进、质量优良、运行可靠、效益显著的优秀水利建设工程，达到省内领先水平。</w:t>
      </w:r>
    </w:p>
    <w:p>
      <w:pPr>
        <w:keepNext w:val="0"/>
        <w:keepLines w:val="0"/>
        <w:pageBreakBefore w:val="0"/>
        <w:kinsoku/>
        <w:wordWrap/>
        <w:overflowPunct/>
        <w:topLinePunct w:val="0"/>
        <w:autoSpaceDE/>
        <w:autoSpaceDN/>
        <w:bidi w:val="0"/>
        <w:adjustRightInd/>
        <w:snapToGrid/>
        <w:spacing w:before="100" w:beforeAutospacing="0" w:after="100" w:afterAutospacing="0" w:line="600" w:lineRule="exact"/>
        <w:ind w:firstLine="640"/>
        <w:textAlignment w:val="auto"/>
        <w:outlineLvl w:val="9"/>
      </w:pPr>
      <w:r>
        <w:rPr>
          <w:rFonts w:hint="eastAsia" w:ascii="仿宋_GB2312" w:eastAsia="仿宋_GB2312"/>
          <w:b/>
          <w:sz w:val="32"/>
          <w:szCs w:val="32"/>
        </w:rPr>
        <w:t xml:space="preserve">第三条  </w:t>
      </w:r>
      <w:r>
        <w:rPr>
          <w:rFonts w:hint="eastAsia" w:ascii="仿宋_GB2312" w:eastAsia="仿宋_GB2312"/>
          <w:sz w:val="32"/>
          <w:szCs w:val="32"/>
        </w:rPr>
        <w:t>仪祉工程奖的评选坚持公开、公平、公正、科学择优和宁缺勿滥的原则。评</w:t>
      </w:r>
      <w:r>
        <w:rPr>
          <w:rFonts w:hint="eastAsia" w:ascii="仿宋_GB2312" w:hAnsi="仿宋_GB2312" w:eastAsia="仿宋_GB2312"/>
          <w:color w:val="000000"/>
          <w:sz w:val="32"/>
          <w:szCs w:val="32"/>
        </w:rPr>
        <w:t>选活动在陕西省水利厅的指导下由陕西省水利工程协会</w:t>
      </w:r>
      <w:r>
        <w:rPr>
          <w:rFonts w:hint="eastAsia" w:ascii="仿宋_GB2312" w:eastAsia="仿宋_GB2312"/>
          <w:strike w:val="0"/>
          <w:dstrike w:val="0"/>
          <w:sz w:val="32"/>
          <w:szCs w:val="32"/>
        </w:rPr>
        <w:t>（</w:t>
      </w:r>
      <w:r>
        <w:rPr>
          <w:rFonts w:hint="eastAsia" w:ascii="仿宋_GB2312" w:eastAsia="仿宋_GB2312"/>
          <w:strike w:val="0"/>
          <w:dstrike w:val="0"/>
          <w:sz w:val="32"/>
          <w:szCs w:val="32"/>
          <w:lang w:val="en-US" w:eastAsia="zh-CN"/>
        </w:rPr>
        <w:t>以下</w:t>
      </w:r>
      <w:r>
        <w:rPr>
          <w:rFonts w:hint="eastAsia" w:ascii="仿宋_GB2312" w:eastAsia="仿宋_GB2312"/>
          <w:strike w:val="0"/>
          <w:dstrike w:val="0"/>
          <w:sz w:val="32"/>
          <w:szCs w:val="32"/>
        </w:rPr>
        <w:t>简称</w:t>
      </w:r>
      <w:r>
        <w:rPr>
          <w:rFonts w:hint="eastAsia" w:ascii="仿宋_GB2312" w:eastAsia="仿宋_GB2312"/>
          <w:strike w:val="0"/>
          <w:dstrike w:val="0"/>
          <w:sz w:val="32"/>
          <w:szCs w:val="32"/>
          <w:lang w:eastAsia="zh-CN"/>
        </w:rPr>
        <w:t>“</w:t>
      </w:r>
      <w:r>
        <w:rPr>
          <w:rFonts w:hint="eastAsia" w:ascii="仿宋_GB2312" w:eastAsia="仿宋_GB2312"/>
          <w:strike w:val="0"/>
          <w:dstrike w:val="0"/>
          <w:sz w:val="32"/>
          <w:szCs w:val="32"/>
          <w:lang w:val="en-US" w:eastAsia="zh-CN"/>
        </w:rPr>
        <w:t>协会”）</w:t>
      </w:r>
      <w:r>
        <w:rPr>
          <w:rFonts w:hint="eastAsia" w:ascii="仿宋_GB2312" w:hAnsi="仿宋_GB2312" w:eastAsia="仿宋_GB2312"/>
          <w:sz w:val="32"/>
          <w:szCs w:val="32"/>
        </w:rPr>
        <w:t>组织实施。</w:t>
      </w:r>
      <w:r>
        <w:rPr>
          <w:rFonts w:hint="eastAsia" w:ascii="仿宋_GB2312" w:eastAsia="仿宋_GB2312"/>
          <w:sz w:val="32"/>
          <w:szCs w:val="32"/>
        </w:rPr>
        <w:t>原则上每一至两年评选一次，</w:t>
      </w:r>
      <w:r>
        <w:rPr>
          <w:rFonts w:hint="eastAsia" w:ascii="仿宋_GB2312" w:hAnsi="仿宋_GB2312" w:eastAsia="仿宋_GB2312"/>
          <w:color w:val="000000"/>
          <w:sz w:val="32"/>
          <w:szCs w:val="32"/>
        </w:rPr>
        <w:t>对为获奖工程作出主要贡献的单位和个人进行表彰。</w:t>
      </w:r>
    </w:p>
    <w:p>
      <w:pPr>
        <w:keepNext w:val="0"/>
        <w:keepLines w:val="0"/>
        <w:pageBreakBefore w:val="0"/>
        <w:tabs>
          <w:tab w:val="left" w:pos="0"/>
        </w:tabs>
        <w:kinsoku/>
        <w:wordWrap/>
        <w:overflowPunct/>
        <w:topLinePunct w:val="0"/>
        <w:autoSpaceDE/>
        <w:autoSpaceDN/>
        <w:bidi w:val="0"/>
        <w:adjustRightInd/>
        <w:snapToGrid/>
        <w:spacing w:beforeAutospacing="0" w:afterAutospacing="0" w:line="600" w:lineRule="exact"/>
        <w:ind w:firstLine="643" w:firstLineChars="200"/>
        <w:textAlignment w:val="auto"/>
        <w:outlineLvl w:val="9"/>
        <w:rPr>
          <w:rFonts w:hint="eastAsia" w:ascii="仿宋_GB2312" w:eastAsia="仿宋_GB2312"/>
          <w:sz w:val="32"/>
          <w:szCs w:val="32"/>
          <w:lang w:val="en-US" w:eastAsia="zh-CN"/>
        </w:rPr>
      </w:pPr>
      <w:r>
        <w:rPr>
          <w:rFonts w:hint="eastAsia" w:ascii="仿宋_GB2312" w:eastAsia="仿宋_GB2312"/>
          <w:b/>
          <w:bCs/>
          <w:sz w:val="32"/>
          <w:szCs w:val="32"/>
        </w:rPr>
        <w:t xml:space="preserve">第四条  </w:t>
      </w:r>
      <w:r>
        <w:rPr>
          <w:rFonts w:hint="eastAsia" w:ascii="仿宋_GB2312" w:eastAsia="仿宋_GB2312"/>
          <w:sz w:val="32"/>
          <w:szCs w:val="32"/>
          <w:lang w:val="en-US" w:eastAsia="zh-CN"/>
        </w:rPr>
        <w:t>获得</w:t>
      </w:r>
      <w:r>
        <w:rPr>
          <w:rFonts w:hint="eastAsia" w:ascii="仿宋_GB2312" w:eastAsia="仿宋_GB2312"/>
          <w:sz w:val="32"/>
          <w:szCs w:val="32"/>
        </w:rPr>
        <w:t>仪祉工程</w:t>
      </w:r>
      <w:r>
        <w:rPr>
          <w:rFonts w:hint="eastAsia" w:ascii="仿宋_GB2312" w:eastAsia="仿宋_GB2312"/>
          <w:sz w:val="32"/>
          <w:szCs w:val="32"/>
          <w:lang w:val="en-US" w:eastAsia="zh-CN"/>
        </w:rPr>
        <w:t>奖的项目，优先</w:t>
      </w:r>
      <w:r>
        <w:rPr>
          <w:rFonts w:hint="eastAsia" w:ascii="仿宋_GB2312" w:eastAsia="仿宋_GB2312"/>
          <w:sz w:val="32"/>
          <w:szCs w:val="32"/>
        </w:rPr>
        <w:t>推荐</w:t>
      </w:r>
      <w:r>
        <w:rPr>
          <w:rFonts w:hint="eastAsia" w:ascii="仿宋_GB2312" w:eastAsia="仿宋_GB2312"/>
          <w:sz w:val="32"/>
          <w:szCs w:val="32"/>
          <w:lang w:val="en-US" w:eastAsia="zh-CN"/>
        </w:rPr>
        <w:t>申报</w:t>
      </w:r>
      <w:r>
        <w:rPr>
          <w:rFonts w:hint="eastAsia" w:ascii="仿宋_GB2312" w:eastAsia="仿宋_GB2312"/>
          <w:sz w:val="32"/>
          <w:szCs w:val="32"/>
        </w:rPr>
        <w:t>中国水利工程优质（大禹）奖</w:t>
      </w:r>
      <w:r>
        <w:rPr>
          <w:rFonts w:hint="eastAsia" w:ascii="仿宋_GB2312" w:eastAsia="仿宋_GB2312"/>
          <w:sz w:val="32"/>
          <w:szCs w:val="32"/>
          <w:lang w:eastAsia="zh-CN"/>
        </w:rPr>
        <w:t>、</w:t>
      </w:r>
      <w:r>
        <w:rPr>
          <w:rFonts w:hint="eastAsia" w:ascii="仿宋_GB2312" w:eastAsia="仿宋_GB2312"/>
          <w:sz w:val="32"/>
          <w:szCs w:val="32"/>
        </w:rPr>
        <w:t>陕西省建设工程长安杯奖(省优质工程)等国家级</w:t>
      </w:r>
      <w:r>
        <w:rPr>
          <w:rFonts w:hint="eastAsia" w:ascii="仿宋_GB2312" w:eastAsia="仿宋_GB2312"/>
          <w:sz w:val="32"/>
          <w:szCs w:val="32"/>
          <w:lang w:eastAsia="zh-CN"/>
        </w:rPr>
        <w:t>、</w:t>
      </w:r>
      <w:r>
        <w:rPr>
          <w:rFonts w:hint="eastAsia" w:ascii="仿宋_GB2312" w:eastAsia="仿宋_GB2312"/>
          <w:sz w:val="32"/>
          <w:szCs w:val="32"/>
          <w:lang w:val="en-US" w:eastAsia="zh-CN"/>
        </w:rPr>
        <w:t>省级</w:t>
      </w:r>
      <w:r>
        <w:rPr>
          <w:rFonts w:hint="eastAsia" w:ascii="仿宋_GB2312" w:eastAsia="仿宋_GB2312"/>
          <w:sz w:val="32"/>
          <w:szCs w:val="32"/>
        </w:rPr>
        <w:t>优质工程</w:t>
      </w:r>
      <w:r>
        <w:rPr>
          <w:rFonts w:hint="eastAsia" w:ascii="仿宋_GB2312" w:eastAsia="仿宋_GB2312"/>
          <w:sz w:val="32"/>
          <w:szCs w:val="32"/>
          <w:lang w:val="en-US" w:eastAsia="zh-CN"/>
        </w:rPr>
        <w:t>奖；申报过仪祉工程奖的项目，择优推荐申报陕西省建设工程长安杯奖(省优质工程)的评选。</w:t>
      </w:r>
    </w:p>
    <w:p>
      <w:pPr>
        <w:pStyle w:val="6"/>
        <w:keepNext w:val="0"/>
        <w:keepLines w:val="0"/>
        <w:pageBreakBefore w:val="0"/>
        <w:kinsoku/>
        <w:wordWrap/>
        <w:overflowPunct/>
        <w:topLinePunct w:val="0"/>
        <w:autoSpaceDE/>
        <w:autoSpaceDN/>
        <w:bidi w:val="0"/>
        <w:adjustRightInd/>
        <w:snapToGrid/>
        <w:spacing w:beforeAutospacing="0" w:afterAutospacing="0" w:line="600" w:lineRule="exact"/>
        <w:jc w:val="center"/>
        <w:textAlignment w:val="auto"/>
        <w:outlineLvl w:val="9"/>
        <w:rPr>
          <w:rFonts w:ascii="黑体" w:eastAsia="黑体"/>
          <w:bCs/>
          <w:sz w:val="32"/>
          <w:szCs w:val="32"/>
        </w:rPr>
      </w:pPr>
      <w:r>
        <w:rPr>
          <w:rFonts w:hint="eastAsia" w:ascii="黑体" w:eastAsia="黑体"/>
          <w:bCs/>
          <w:sz w:val="32"/>
          <w:szCs w:val="32"/>
        </w:rPr>
        <w:t>第二章  评选范围与申报条件</w:t>
      </w:r>
    </w:p>
    <w:p>
      <w:pPr>
        <w:keepNext w:val="0"/>
        <w:keepLines w:val="0"/>
        <w:pageBreakBefore w:val="0"/>
        <w:tabs>
          <w:tab w:val="left" w:pos="0"/>
        </w:tabs>
        <w:kinsoku/>
        <w:wordWrap/>
        <w:overflowPunct/>
        <w:topLinePunct w:val="0"/>
        <w:autoSpaceDE/>
        <w:autoSpaceDN/>
        <w:bidi w:val="0"/>
        <w:adjustRightInd/>
        <w:snapToGrid/>
        <w:spacing w:beforeAutospacing="0" w:afterAutospacing="0" w:line="600" w:lineRule="exact"/>
        <w:ind w:firstLine="643" w:firstLineChars="200"/>
        <w:textAlignment w:val="auto"/>
        <w:outlineLvl w:val="9"/>
        <w:rPr>
          <w:rFonts w:ascii="仿宋_GB2312" w:eastAsia="仿宋_GB2312"/>
          <w:bCs/>
          <w:sz w:val="32"/>
          <w:szCs w:val="32"/>
        </w:rPr>
      </w:pPr>
      <w:r>
        <w:rPr>
          <w:rFonts w:hint="eastAsia" w:ascii="仿宋_GB2312" w:eastAsia="仿宋_GB2312"/>
          <w:b/>
          <w:bCs/>
          <w:sz w:val="32"/>
          <w:szCs w:val="32"/>
        </w:rPr>
        <w:t>第五条</w:t>
      </w:r>
      <w:r>
        <w:rPr>
          <w:rFonts w:hint="eastAsia" w:eastAsia="仿宋_GB2312"/>
          <w:sz w:val="32"/>
          <w:szCs w:val="32"/>
        </w:rPr>
        <w:t xml:space="preserve">  </w:t>
      </w:r>
      <w:r>
        <w:rPr>
          <w:rFonts w:hint="eastAsia" w:ascii="仿宋_GB2312" w:eastAsia="仿宋_GB2312"/>
          <w:sz w:val="32"/>
          <w:szCs w:val="32"/>
        </w:rPr>
        <w:t>仪祉工程奖的评选对象为陕西省境内新建成并投入使用，符合基本建设程序，具备申报条件的各类水利工程。</w:t>
      </w:r>
      <w:r>
        <w:rPr>
          <w:rFonts w:hint="eastAsia" w:ascii="仿宋_GB2312" w:hAnsi="仿宋_GB2312" w:eastAsia="仿宋_GB2312"/>
          <w:color w:val="000000"/>
          <w:sz w:val="32"/>
          <w:szCs w:val="32"/>
        </w:rPr>
        <w:t>原则上以一个批准的初步设计工程为申报项目参加评选。</w:t>
      </w:r>
    </w:p>
    <w:p>
      <w:pPr>
        <w:pStyle w:val="6"/>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3" w:firstLineChars="200"/>
        <w:textAlignment w:val="auto"/>
        <w:outlineLvl w:val="9"/>
        <w:rPr>
          <w:rFonts w:ascii="仿宋_GB2312" w:hAnsi="仿宋_GB2312" w:eastAsia="仿宋_GB2312" w:cs="Times New Roman"/>
          <w:color w:val="000000"/>
          <w:kern w:val="2"/>
          <w:sz w:val="32"/>
          <w:szCs w:val="32"/>
        </w:rPr>
      </w:pPr>
      <w:r>
        <w:rPr>
          <w:rFonts w:hint="eastAsia" w:ascii="仿宋_GB2312" w:eastAsia="仿宋_GB2312"/>
          <w:b/>
          <w:sz w:val="32"/>
          <w:szCs w:val="32"/>
        </w:rPr>
        <w:t>第六条</w:t>
      </w:r>
      <w:r>
        <w:rPr>
          <w:rFonts w:hint="eastAsia" w:ascii="仿宋_GB2312" w:eastAsia="仿宋_GB2312"/>
          <w:sz w:val="32"/>
          <w:szCs w:val="32"/>
          <w:highlight w:val="none"/>
        </w:rPr>
        <w:t xml:space="preserve">  </w:t>
      </w:r>
      <w:r>
        <w:rPr>
          <w:rFonts w:hint="eastAsia" w:ascii="仿宋_GB2312" w:hAnsi="仿宋_GB2312" w:eastAsia="仿宋_GB2312" w:cs="Times New Roman"/>
          <w:color w:val="000000"/>
          <w:kern w:val="2"/>
          <w:sz w:val="32"/>
          <w:szCs w:val="32"/>
          <w:highlight w:val="none"/>
        </w:rPr>
        <w:t>评选范围为工程等级在小（1）型及以上或总投资1000万元（含1000万元）以上的工程；个别工程</w:t>
      </w:r>
      <w:r>
        <w:rPr>
          <w:rFonts w:hint="eastAsia" w:ascii="仿宋_GB2312" w:hAnsi="宋体" w:eastAsia="仿宋_GB2312"/>
          <w:sz w:val="32"/>
          <w:szCs w:val="32"/>
          <w:highlight w:val="none"/>
        </w:rPr>
        <w:t>规模</w:t>
      </w:r>
      <w:r>
        <w:rPr>
          <w:rFonts w:hint="eastAsia" w:ascii="仿宋_GB2312" w:eastAsia="仿宋_GB2312"/>
          <w:sz w:val="32"/>
          <w:szCs w:val="32"/>
          <w:highlight w:val="none"/>
          <w:lang w:val="en-US" w:eastAsia="zh-CN"/>
        </w:rPr>
        <w:t>较小，</w:t>
      </w:r>
      <w:r>
        <w:rPr>
          <w:rFonts w:hint="eastAsia" w:ascii="仿宋_GB2312" w:hAnsi="仿宋_GB2312" w:eastAsia="仿宋_GB2312" w:cs="Times New Roman"/>
          <w:color w:val="000000"/>
          <w:kern w:val="2"/>
          <w:sz w:val="32"/>
          <w:szCs w:val="32"/>
          <w:highlight w:val="none"/>
        </w:rPr>
        <w:t>达不到</w:t>
      </w:r>
      <w:r>
        <w:rPr>
          <w:rFonts w:hint="eastAsia" w:ascii="仿宋_GB2312" w:hAnsi="仿宋_GB2312" w:eastAsia="仿宋_GB2312" w:cs="Times New Roman"/>
          <w:color w:val="000000"/>
          <w:kern w:val="2"/>
          <w:sz w:val="32"/>
          <w:szCs w:val="32"/>
          <w:highlight w:val="none"/>
          <w:lang w:val="en-US" w:eastAsia="zh-CN"/>
        </w:rPr>
        <w:t>上述</w:t>
      </w:r>
      <w:r>
        <w:rPr>
          <w:rFonts w:hint="eastAsia" w:ascii="仿宋_GB2312" w:hAnsi="仿宋_GB2312" w:eastAsia="仿宋_GB2312" w:cs="Times New Roman"/>
          <w:color w:val="000000"/>
          <w:kern w:val="2"/>
          <w:sz w:val="32"/>
          <w:szCs w:val="32"/>
          <w:highlight w:val="none"/>
        </w:rPr>
        <w:t>要求，</w:t>
      </w:r>
      <w:r>
        <w:rPr>
          <w:rFonts w:hint="eastAsia" w:ascii="仿宋_GB2312" w:hAnsi="仿宋_GB2312" w:eastAsia="仿宋_GB2312" w:cs="Times New Roman"/>
          <w:color w:val="000000"/>
          <w:kern w:val="2"/>
          <w:sz w:val="32"/>
          <w:szCs w:val="32"/>
        </w:rPr>
        <w:t>但</w:t>
      </w:r>
      <w:r>
        <w:rPr>
          <w:rFonts w:hint="eastAsia" w:ascii="仿宋_GB2312" w:hAnsi="仿宋_GB2312" w:eastAsia="仿宋_GB2312" w:cs="Times New Roman"/>
          <w:color w:val="000000"/>
          <w:kern w:val="2"/>
          <w:sz w:val="32"/>
          <w:szCs w:val="32"/>
          <w:lang w:val="en-US" w:eastAsia="zh-CN"/>
        </w:rPr>
        <w:t>具有</w:t>
      </w:r>
      <w:r>
        <w:rPr>
          <w:rFonts w:hint="eastAsia" w:ascii="仿宋_GB2312" w:hAnsi="仿宋_GB2312" w:eastAsia="仿宋_GB2312" w:cs="Times New Roman"/>
          <w:color w:val="000000"/>
          <w:kern w:val="2"/>
          <w:sz w:val="32"/>
          <w:szCs w:val="32"/>
        </w:rPr>
        <w:t>特殊影响或者</w:t>
      </w:r>
      <w:r>
        <w:rPr>
          <w:rFonts w:hint="eastAsia" w:ascii="仿宋_GB2312" w:hAnsi="仿宋_GB2312" w:eastAsia="仿宋_GB2312" w:cs="Times New Roman"/>
          <w:color w:val="000000"/>
          <w:kern w:val="2"/>
          <w:sz w:val="32"/>
          <w:szCs w:val="32"/>
          <w:lang w:val="en-US" w:eastAsia="zh-CN"/>
        </w:rPr>
        <w:t>显著经济、社会、生态效益的，</w:t>
      </w:r>
      <w:r>
        <w:rPr>
          <w:rFonts w:hint="eastAsia" w:ascii="仿宋_GB2312" w:hAnsi="仿宋_GB2312" w:eastAsia="仿宋_GB2312" w:cs="Times New Roman"/>
          <w:color w:val="000000"/>
          <w:kern w:val="2"/>
          <w:sz w:val="32"/>
          <w:szCs w:val="32"/>
        </w:rPr>
        <w:t>也可申报评选。</w:t>
      </w:r>
    </w:p>
    <w:p>
      <w:pPr>
        <w:pStyle w:val="6"/>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3" w:firstLineChars="200"/>
        <w:textAlignment w:val="auto"/>
        <w:outlineLvl w:val="9"/>
        <w:rPr>
          <w:rFonts w:ascii="仿宋_GB2312" w:eastAsia="仿宋_GB2312"/>
          <w:bCs/>
          <w:sz w:val="32"/>
          <w:szCs w:val="32"/>
        </w:rPr>
      </w:pPr>
      <w:r>
        <w:rPr>
          <w:rFonts w:hint="eastAsia" w:ascii="仿宋_GB2312" w:eastAsia="仿宋_GB2312"/>
          <w:b/>
          <w:bCs/>
          <w:sz w:val="32"/>
          <w:szCs w:val="32"/>
        </w:rPr>
        <w:t xml:space="preserve">第七条  </w:t>
      </w:r>
      <w:r>
        <w:rPr>
          <w:rFonts w:hint="eastAsia" w:ascii="仿宋_GB2312" w:eastAsia="仿宋_GB2312"/>
          <w:bCs/>
          <w:sz w:val="32"/>
          <w:szCs w:val="32"/>
        </w:rPr>
        <w:t>申报</w:t>
      </w:r>
      <w:r>
        <w:rPr>
          <w:rFonts w:hint="eastAsia" w:ascii="仿宋_GB2312" w:eastAsia="仿宋_GB2312"/>
          <w:sz w:val="32"/>
          <w:szCs w:val="32"/>
        </w:rPr>
        <w:t>仪祉工程奖</w:t>
      </w:r>
      <w:r>
        <w:rPr>
          <w:rFonts w:hint="eastAsia" w:ascii="仿宋_GB2312" w:eastAsia="仿宋_GB2312"/>
          <w:bCs/>
          <w:sz w:val="32"/>
          <w:szCs w:val="32"/>
        </w:rPr>
        <w:t>的工程应具备以下条件：</w:t>
      </w:r>
    </w:p>
    <w:p>
      <w:pPr>
        <w:pStyle w:val="6"/>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textAlignment w:val="auto"/>
        <w:outlineLvl w:val="9"/>
        <w:rPr>
          <w:rFonts w:ascii="仿宋_GB2312" w:eastAsia="仿宋_GB2312"/>
          <w:bCs/>
          <w:sz w:val="32"/>
          <w:szCs w:val="32"/>
        </w:rPr>
      </w:pPr>
      <w:r>
        <w:rPr>
          <w:rFonts w:hint="eastAsia" w:ascii="仿宋_GB2312" w:eastAsia="仿宋_GB2312"/>
          <w:sz w:val="32"/>
          <w:szCs w:val="32"/>
        </w:rPr>
        <w:t>（一）符合基本建设程序且已竣工验收，工程质量达到现行</w:t>
      </w:r>
      <w:r>
        <w:rPr>
          <w:rFonts w:hint="eastAsia" w:ascii="仿宋_GB2312" w:eastAsia="仿宋_GB2312"/>
          <w:bCs/>
          <w:sz w:val="32"/>
          <w:szCs w:val="32"/>
        </w:rPr>
        <w:t>规范要求的</w:t>
      </w:r>
      <w:r>
        <w:rPr>
          <w:rFonts w:hint="eastAsia" w:ascii="仿宋_GB2312" w:eastAsia="仿宋_GB2312"/>
          <w:bCs/>
          <w:sz w:val="32"/>
          <w:szCs w:val="32"/>
          <w:lang w:val="en-US" w:eastAsia="zh-CN"/>
        </w:rPr>
        <w:t>合格及以上</w:t>
      </w:r>
      <w:r>
        <w:rPr>
          <w:rFonts w:hint="eastAsia" w:ascii="仿宋_GB2312" w:eastAsia="仿宋_GB2312"/>
          <w:bCs/>
          <w:sz w:val="32"/>
          <w:szCs w:val="32"/>
        </w:rPr>
        <w:t>等级；</w:t>
      </w:r>
    </w:p>
    <w:p>
      <w:pPr>
        <w:pStyle w:val="6"/>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textAlignment w:val="auto"/>
        <w:outlineLvl w:val="9"/>
        <w:rPr>
          <w:rFonts w:ascii="仿宋_GB2312" w:eastAsia="仿宋_GB2312"/>
          <w:bCs/>
          <w:sz w:val="32"/>
          <w:szCs w:val="32"/>
          <w:highlight w:val="green"/>
        </w:rPr>
      </w:pPr>
      <w:r>
        <w:rPr>
          <w:rFonts w:hint="eastAsia" w:ascii="仿宋_GB2312" w:eastAsia="仿宋_GB2312"/>
          <w:bCs/>
          <w:sz w:val="32"/>
          <w:szCs w:val="32"/>
        </w:rPr>
        <w:t>（二）</w:t>
      </w:r>
      <w:r>
        <w:rPr>
          <w:rFonts w:hint="eastAsia" w:ascii="仿宋_GB2312" w:eastAsia="仿宋_GB2312"/>
          <w:bCs/>
          <w:sz w:val="32"/>
          <w:szCs w:val="32"/>
          <w:lang w:val="en-US" w:eastAsia="zh-CN"/>
        </w:rPr>
        <w:t>优良等级优先考虑，</w:t>
      </w:r>
      <w:r>
        <w:rPr>
          <w:rFonts w:hint="eastAsia" w:ascii="仿宋_GB2312" w:eastAsia="仿宋_GB2312"/>
          <w:bCs/>
          <w:sz w:val="32"/>
          <w:szCs w:val="32"/>
        </w:rPr>
        <w:t>主要单位工程</w:t>
      </w:r>
      <w:r>
        <w:rPr>
          <w:rFonts w:hint="eastAsia" w:ascii="仿宋_GB2312" w:eastAsia="仿宋_GB2312"/>
          <w:bCs/>
          <w:sz w:val="32"/>
          <w:szCs w:val="32"/>
          <w:lang w:val="en-US" w:eastAsia="zh-CN"/>
        </w:rPr>
        <w:t>或</w:t>
      </w:r>
      <w:r>
        <w:rPr>
          <w:rFonts w:hint="eastAsia" w:ascii="仿宋_GB2312" w:eastAsia="仿宋_GB2312"/>
          <w:bCs/>
          <w:sz w:val="32"/>
          <w:szCs w:val="32"/>
        </w:rPr>
        <w:t>主要分部工程</w:t>
      </w:r>
      <w:r>
        <w:rPr>
          <w:rFonts w:hint="eastAsia" w:ascii="仿宋_GB2312" w:eastAsia="仿宋_GB2312"/>
          <w:bCs/>
          <w:sz w:val="32"/>
          <w:szCs w:val="32"/>
          <w:lang w:val="en-US" w:eastAsia="zh-CN"/>
        </w:rPr>
        <w:t>的</w:t>
      </w:r>
      <w:r>
        <w:rPr>
          <w:rFonts w:hint="eastAsia" w:ascii="仿宋_GB2312" w:eastAsia="仿宋_GB2312"/>
          <w:bCs/>
          <w:sz w:val="32"/>
          <w:szCs w:val="32"/>
          <w:highlight w:val="none"/>
          <w:lang w:val="en-US" w:eastAsia="zh-CN"/>
        </w:rPr>
        <w:t>工程</w:t>
      </w:r>
      <w:r>
        <w:rPr>
          <w:rFonts w:hint="eastAsia" w:ascii="仿宋_GB2312" w:eastAsia="仿宋_GB2312"/>
          <w:bCs/>
          <w:sz w:val="32"/>
          <w:szCs w:val="32"/>
          <w:highlight w:val="none"/>
        </w:rPr>
        <w:t>质量达到</w:t>
      </w:r>
      <w:r>
        <w:rPr>
          <w:rFonts w:hint="eastAsia" w:ascii="仿宋_GB2312" w:eastAsia="仿宋_GB2312"/>
          <w:bCs/>
          <w:sz w:val="32"/>
          <w:szCs w:val="32"/>
          <w:highlight w:val="none"/>
          <w:lang w:val="en-US" w:eastAsia="zh-CN"/>
        </w:rPr>
        <w:t>优良</w:t>
      </w:r>
      <w:r>
        <w:rPr>
          <w:rFonts w:hint="eastAsia" w:ascii="仿宋_GB2312" w:eastAsia="仿宋_GB2312"/>
          <w:bCs/>
          <w:sz w:val="32"/>
          <w:szCs w:val="32"/>
          <w:highlight w:val="none"/>
        </w:rPr>
        <w:t>等级</w:t>
      </w:r>
      <w:r>
        <w:rPr>
          <w:rFonts w:hint="eastAsia" w:ascii="仿宋_GB2312" w:eastAsia="仿宋_GB2312"/>
          <w:bCs/>
          <w:sz w:val="32"/>
          <w:szCs w:val="32"/>
          <w:highlight w:val="none"/>
          <w:lang w:val="en-US" w:eastAsia="zh-CN"/>
        </w:rPr>
        <w:t>的适当加分</w:t>
      </w:r>
      <w:r>
        <w:rPr>
          <w:rFonts w:hint="eastAsia" w:ascii="仿宋_GB2312" w:eastAsia="仿宋_GB2312"/>
          <w:bCs/>
          <w:sz w:val="32"/>
          <w:szCs w:val="32"/>
          <w:highlight w:val="none"/>
        </w:rPr>
        <w:t>；</w:t>
      </w:r>
    </w:p>
    <w:p>
      <w:pPr>
        <w:pStyle w:val="6"/>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textAlignment w:val="auto"/>
        <w:outlineLvl w:val="9"/>
        <w:rPr>
          <w:rFonts w:ascii="仿宋_GB2312" w:eastAsia="仿宋_GB2312"/>
          <w:sz w:val="32"/>
          <w:szCs w:val="32"/>
        </w:rPr>
      </w:pPr>
      <w:r>
        <w:rPr>
          <w:rFonts w:hint="eastAsia" w:ascii="仿宋_GB2312" w:eastAsia="仿宋_GB2312"/>
          <w:bCs/>
          <w:sz w:val="32"/>
          <w:szCs w:val="32"/>
        </w:rPr>
        <w:t>（三）经过运行考验，没有发生质量问题。其中，水利枢纽工程、堤防工程和引水工程在通过竣工验收后，原则上达到或接近设计标准（不低于75%）的</w:t>
      </w:r>
      <w:r>
        <w:rPr>
          <w:rFonts w:hint="eastAsia" w:ascii="仿宋_GB2312" w:eastAsia="仿宋_GB2312"/>
          <w:bCs/>
          <w:sz w:val="32"/>
          <w:szCs w:val="32"/>
          <w:lang w:val="en-US" w:eastAsia="zh-CN"/>
        </w:rPr>
        <w:t>至少一次</w:t>
      </w:r>
      <w:r>
        <w:rPr>
          <w:rFonts w:hint="eastAsia" w:ascii="仿宋_GB2312" w:eastAsia="仿宋_GB2312"/>
          <w:bCs/>
          <w:sz w:val="32"/>
          <w:szCs w:val="32"/>
        </w:rPr>
        <w:t>运行考验，且未发生质量问题；</w:t>
      </w:r>
    </w:p>
    <w:p>
      <w:pPr>
        <w:pStyle w:val="6"/>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textAlignment w:val="auto"/>
        <w:outlineLvl w:val="9"/>
        <w:rPr>
          <w:rFonts w:ascii="仿宋_GB2312" w:eastAsia="仿宋_GB2312"/>
          <w:bCs/>
          <w:sz w:val="32"/>
          <w:szCs w:val="32"/>
        </w:rPr>
      </w:pPr>
      <w:r>
        <w:rPr>
          <w:rFonts w:hint="eastAsia" w:ascii="仿宋_GB2312" w:eastAsia="仿宋_GB2312"/>
          <w:bCs/>
          <w:sz w:val="32"/>
          <w:szCs w:val="32"/>
        </w:rPr>
        <w:t>（四）具有有关主管部门或单位关于推荐评选的签署意见和加盖的公章。</w:t>
      </w:r>
    </w:p>
    <w:p>
      <w:pPr>
        <w:pStyle w:val="6"/>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3" w:firstLineChars="200"/>
        <w:textAlignment w:val="auto"/>
        <w:outlineLvl w:val="9"/>
        <w:rPr>
          <w:rFonts w:ascii="仿宋_GB2312" w:eastAsia="仿宋_GB2312"/>
          <w:sz w:val="32"/>
          <w:szCs w:val="32"/>
        </w:rPr>
      </w:pPr>
      <w:r>
        <w:rPr>
          <w:rFonts w:hint="eastAsia" w:ascii="仿宋_GB2312" w:eastAsia="仿宋_GB2312"/>
          <w:b/>
          <w:bCs/>
          <w:sz w:val="32"/>
          <w:szCs w:val="32"/>
        </w:rPr>
        <w:t>第八条</w:t>
      </w:r>
      <w:r>
        <w:rPr>
          <w:rFonts w:hint="eastAsia" w:eastAsia="仿宋_GB2312"/>
          <w:sz w:val="32"/>
          <w:szCs w:val="32"/>
        </w:rPr>
        <w:t xml:space="preserve">  </w:t>
      </w:r>
      <w:r>
        <w:rPr>
          <w:rFonts w:hint="eastAsia" w:ascii="仿宋_GB2312" w:eastAsia="仿宋_GB2312"/>
          <w:sz w:val="32"/>
          <w:szCs w:val="32"/>
        </w:rPr>
        <w:t>有下列情况之一的工程不得申报：</w:t>
      </w:r>
    </w:p>
    <w:p>
      <w:pPr>
        <w:keepNext w:val="0"/>
        <w:keepLines w:val="0"/>
        <w:pageBreakBefore w:val="0"/>
        <w:kinsoku/>
        <w:wordWrap/>
        <w:overflowPunct/>
        <w:topLinePunct w:val="0"/>
        <w:autoSpaceDE/>
        <w:autoSpaceDN/>
        <w:bidi w:val="0"/>
        <w:adjustRightInd/>
        <w:snapToGrid/>
        <w:spacing w:before="100" w:beforeAutospacing="0" w:after="100" w:afterAutospacing="0" w:line="600" w:lineRule="exact"/>
        <w:ind w:firstLine="640"/>
        <w:textAlignment w:val="auto"/>
        <w:outlineLvl w:val="9"/>
        <w:rPr>
          <w:rFonts w:ascii="仿宋_GB2312" w:hAnsi="仿宋_GB2312" w:eastAsia="仿宋_GB2312"/>
          <w:color w:val="000000"/>
          <w:sz w:val="32"/>
          <w:szCs w:val="32"/>
        </w:rPr>
      </w:pPr>
      <w:r>
        <w:rPr>
          <w:rFonts w:hint="eastAsia" w:ascii="仿宋_GB2312" w:hAnsi="仿宋_GB2312" w:eastAsia="仿宋_GB2312"/>
          <w:color w:val="000000"/>
          <w:sz w:val="32"/>
          <w:szCs w:val="32"/>
        </w:rPr>
        <w:t>（一）施工过程中曾发生质量事故或</w:t>
      </w:r>
      <w:r>
        <w:rPr>
          <w:rFonts w:hint="eastAsia" w:ascii="仿宋_GB2312" w:hAnsi="仿宋_GB2312" w:eastAsia="仿宋_GB2312"/>
          <w:color w:val="000000"/>
          <w:sz w:val="32"/>
          <w:szCs w:val="32"/>
          <w:lang w:val="en-US" w:eastAsia="zh-CN"/>
        </w:rPr>
        <w:t>一般</w:t>
      </w:r>
      <w:r>
        <w:rPr>
          <w:rFonts w:hint="eastAsia" w:ascii="仿宋_GB2312" w:hAnsi="仿宋_GB2312" w:eastAsia="仿宋_GB2312"/>
          <w:color w:val="000000"/>
          <w:sz w:val="32"/>
          <w:szCs w:val="32"/>
        </w:rPr>
        <w:t>以上安全事故的工程，或在移民安置、水土保持、环境保护等方面造成不良社会影响的工程；</w:t>
      </w:r>
    </w:p>
    <w:p>
      <w:pPr>
        <w:keepNext w:val="0"/>
        <w:keepLines w:val="0"/>
        <w:pageBreakBefore w:val="0"/>
        <w:kinsoku/>
        <w:wordWrap/>
        <w:overflowPunct/>
        <w:topLinePunct w:val="0"/>
        <w:autoSpaceDE/>
        <w:autoSpaceDN/>
        <w:bidi w:val="0"/>
        <w:adjustRightInd/>
        <w:snapToGrid/>
        <w:spacing w:before="100" w:beforeAutospacing="0" w:after="100" w:afterAutospacing="0" w:line="600" w:lineRule="exact"/>
        <w:ind w:firstLine="640"/>
        <w:textAlignment w:val="auto"/>
        <w:outlineLvl w:val="9"/>
        <w:rPr>
          <w:rFonts w:ascii="仿宋_GB2312" w:hAnsi="仿宋_GB2312" w:eastAsia="仿宋_GB2312"/>
          <w:color w:val="000000"/>
          <w:sz w:val="32"/>
          <w:szCs w:val="32"/>
        </w:rPr>
      </w:pPr>
      <w:r>
        <w:rPr>
          <w:rFonts w:hint="eastAsia" w:ascii="仿宋_GB2312" w:hAnsi="仿宋_GB2312" w:eastAsia="仿宋_GB2312"/>
          <w:color w:val="000000"/>
          <w:sz w:val="32"/>
          <w:szCs w:val="32"/>
        </w:rPr>
        <w:t>（二）工程建设期间，因质量安全问题被水行政主管部门通报批评的；</w:t>
      </w:r>
    </w:p>
    <w:p>
      <w:pPr>
        <w:keepNext w:val="0"/>
        <w:keepLines w:val="0"/>
        <w:pageBreakBefore w:val="0"/>
        <w:kinsoku/>
        <w:wordWrap/>
        <w:overflowPunct/>
        <w:topLinePunct w:val="0"/>
        <w:autoSpaceDE/>
        <w:autoSpaceDN/>
        <w:bidi w:val="0"/>
        <w:adjustRightInd/>
        <w:snapToGrid/>
        <w:spacing w:before="100" w:beforeAutospacing="0" w:after="100" w:afterAutospacing="0" w:line="600" w:lineRule="exact"/>
        <w:ind w:firstLine="640"/>
        <w:textAlignment w:val="auto"/>
        <w:outlineLvl w:val="9"/>
        <w:rPr>
          <w:rFonts w:ascii="仿宋_GB2312" w:hAnsi="仿宋_GB2312" w:eastAsia="仿宋_GB2312"/>
          <w:color w:val="000000"/>
          <w:sz w:val="32"/>
          <w:szCs w:val="32"/>
        </w:rPr>
      </w:pPr>
      <w:r>
        <w:rPr>
          <w:rFonts w:hint="eastAsia" w:ascii="仿宋_GB2312" w:hAnsi="仿宋_GB2312" w:eastAsia="仿宋_GB2312"/>
          <w:color w:val="000000"/>
          <w:sz w:val="32"/>
          <w:szCs w:val="32"/>
        </w:rPr>
        <w:t>（三）涉及保密的工程；</w:t>
      </w:r>
    </w:p>
    <w:p>
      <w:pPr>
        <w:keepNext w:val="0"/>
        <w:keepLines w:val="0"/>
        <w:pageBreakBefore w:val="0"/>
        <w:kinsoku/>
        <w:wordWrap/>
        <w:overflowPunct/>
        <w:topLinePunct w:val="0"/>
        <w:autoSpaceDE/>
        <w:autoSpaceDN/>
        <w:bidi w:val="0"/>
        <w:adjustRightInd/>
        <w:snapToGrid/>
        <w:spacing w:before="100" w:beforeAutospacing="0" w:after="100" w:afterAutospacing="0" w:line="600" w:lineRule="exact"/>
        <w:ind w:firstLine="640"/>
        <w:textAlignment w:val="auto"/>
        <w:outlineLvl w:val="9"/>
        <w:rPr>
          <w:rFonts w:hint="eastAsia" w:ascii="仿宋_GB2312" w:hAnsi="仿宋_GB2312" w:eastAsia="仿宋_GB2312"/>
          <w:color w:val="000000"/>
          <w:sz w:val="32"/>
          <w:szCs w:val="32"/>
          <w:lang w:eastAsia="zh-CN"/>
        </w:rPr>
      </w:pPr>
      <w:r>
        <w:rPr>
          <w:rFonts w:hint="eastAsia" w:ascii="仿宋_GB2312" w:hAnsi="仿宋_GB2312" w:eastAsia="仿宋_GB2312"/>
          <w:color w:val="000000"/>
          <w:sz w:val="32"/>
          <w:szCs w:val="32"/>
        </w:rPr>
        <w:t>（四）已参加过仪祉</w:t>
      </w:r>
      <w:r>
        <w:rPr>
          <w:rFonts w:hint="eastAsia" w:ascii="仿宋_GB2312" w:hAnsi="仿宋_GB2312" w:eastAsia="仿宋_GB2312"/>
          <w:color w:val="000000"/>
          <w:sz w:val="32"/>
          <w:szCs w:val="32"/>
          <w:lang w:val="en-US" w:eastAsia="zh-CN"/>
        </w:rPr>
        <w:t>工程</w:t>
      </w:r>
      <w:r>
        <w:rPr>
          <w:rFonts w:hint="eastAsia" w:ascii="仿宋_GB2312" w:hAnsi="仿宋_GB2312" w:eastAsia="仿宋_GB2312"/>
          <w:color w:val="000000"/>
          <w:sz w:val="32"/>
          <w:szCs w:val="32"/>
        </w:rPr>
        <w:t>奖评选的工程</w:t>
      </w:r>
      <w:r>
        <w:rPr>
          <w:rFonts w:hint="eastAsia" w:ascii="仿宋_GB2312" w:hAnsi="仿宋_GB2312" w:eastAsia="仿宋_GB2312"/>
          <w:color w:val="000000"/>
          <w:sz w:val="32"/>
          <w:szCs w:val="32"/>
          <w:lang w:eastAsia="zh-CN"/>
        </w:rPr>
        <w:t>；</w:t>
      </w:r>
    </w:p>
    <w:p>
      <w:pPr>
        <w:pStyle w:val="6"/>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ascii="仿宋_GB2312" w:hAnsi="仿宋_GB2312" w:eastAsia="仿宋_GB2312" w:cs="Times New Roman"/>
          <w:color w:val="000000"/>
          <w:kern w:val="2"/>
          <w:sz w:val="32"/>
          <w:szCs w:val="32"/>
        </w:rPr>
      </w:pPr>
      <w:r>
        <w:rPr>
          <w:rFonts w:hint="eastAsia" w:ascii="仿宋_GB2312" w:hAnsi="仿宋_GB2312" w:eastAsia="仿宋_GB2312" w:cs="Times New Roman"/>
          <w:color w:val="000000"/>
          <w:kern w:val="2"/>
          <w:sz w:val="32"/>
          <w:szCs w:val="32"/>
        </w:rPr>
        <w:t>（五）存在其他问题不适宜申报的。</w:t>
      </w:r>
    </w:p>
    <w:p>
      <w:pPr>
        <w:pStyle w:val="6"/>
        <w:keepNext w:val="0"/>
        <w:keepLines w:val="0"/>
        <w:pageBreakBefore w:val="0"/>
        <w:kinsoku/>
        <w:wordWrap/>
        <w:overflowPunct/>
        <w:topLinePunct w:val="0"/>
        <w:autoSpaceDE/>
        <w:autoSpaceDN/>
        <w:bidi w:val="0"/>
        <w:adjustRightInd/>
        <w:snapToGrid/>
        <w:spacing w:beforeAutospacing="0" w:afterAutospacing="0" w:line="600" w:lineRule="exact"/>
        <w:jc w:val="center"/>
        <w:textAlignment w:val="auto"/>
        <w:outlineLvl w:val="9"/>
        <w:rPr>
          <w:rFonts w:ascii="黑体" w:eastAsia="黑体"/>
          <w:bCs/>
          <w:sz w:val="32"/>
          <w:szCs w:val="32"/>
        </w:rPr>
      </w:pPr>
      <w:r>
        <w:rPr>
          <w:rFonts w:hint="eastAsia" w:ascii="黑体" w:eastAsia="黑体"/>
          <w:bCs/>
          <w:sz w:val="32"/>
          <w:szCs w:val="32"/>
        </w:rPr>
        <w:t>第三章   申报办法</w:t>
      </w:r>
    </w:p>
    <w:p>
      <w:pPr>
        <w:keepNext w:val="0"/>
        <w:keepLines w:val="0"/>
        <w:pageBreakBefore w:val="0"/>
        <w:kinsoku/>
        <w:wordWrap/>
        <w:overflowPunct/>
        <w:topLinePunct w:val="0"/>
        <w:autoSpaceDE/>
        <w:autoSpaceDN/>
        <w:bidi w:val="0"/>
        <w:adjustRightInd/>
        <w:snapToGrid/>
        <w:spacing w:before="100" w:beforeAutospacing="0" w:after="100" w:afterAutospacing="0" w:line="600" w:lineRule="exact"/>
        <w:ind w:firstLine="640"/>
        <w:textAlignment w:val="auto"/>
        <w:outlineLvl w:val="9"/>
        <w:rPr>
          <w:rFonts w:hint="eastAsia" w:ascii="仿宋_GB2312" w:hAnsi="仿宋_GB2312" w:eastAsia="仿宋_GB2312"/>
          <w:color w:val="000000"/>
          <w:sz w:val="32"/>
          <w:szCs w:val="32"/>
          <w:highlight w:val="none"/>
        </w:rPr>
      </w:pPr>
      <w:r>
        <w:rPr>
          <w:rFonts w:hint="eastAsia" w:ascii="仿宋_GB2312" w:eastAsia="仿宋_GB2312"/>
          <w:b/>
          <w:bCs/>
          <w:sz w:val="32"/>
          <w:szCs w:val="32"/>
          <w:highlight w:val="none"/>
        </w:rPr>
        <w:t xml:space="preserve">第九条  </w:t>
      </w:r>
      <w:r>
        <w:rPr>
          <w:rFonts w:hint="eastAsia" w:ascii="仿宋_GB2312" w:hAnsi="仿宋_GB2312" w:eastAsia="仿宋_GB2312"/>
          <w:color w:val="000000"/>
          <w:sz w:val="32"/>
          <w:szCs w:val="32"/>
          <w:highlight w:val="none"/>
        </w:rPr>
        <w:t>申报工程</w:t>
      </w:r>
      <w:r>
        <w:rPr>
          <w:rFonts w:hint="eastAsia" w:ascii="仿宋_GB2312" w:hAnsi="仿宋_GB2312" w:eastAsia="仿宋_GB2312"/>
          <w:color w:val="000000"/>
          <w:sz w:val="32"/>
          <w:szCs w:val="32"/>
          <w:highlight w:val="none"/>
          <w:lang w:val="en-US" w:eastAsia="zh-CN"/>
        </w:rPr>
        <w:t>可由</w:t>
      </w:r>
      <w:r>
        <w:rPr>
          <w:rFonts w:hint="eastAsia" w:ascii="仿宋_GB2312" w:hAnsi="仿宋_GB2312" w:eastAsia="仿宋_GB2312"/>
          <w:color w:val="000000"/>
          <w:sz w:val="32"/>
          <w:szCs w:val="32"/>
          <w:highlight w:val="none"/>
        </w:rPr>
        <w:t>工程项目法人（建设单位）</w:t>
      </w:r>
      <w:r>
        <w:rPr>
          <w:rFonts w:hint="eastAsia" w:ascii="仿宋_GB2312" w:hAnsi="仿宋_GB2312" w:eastAsia="仿宋_GB2312"/>
          <w:color w:val="000000"/>
          <w:sz w:val="32"/>
          <w:szCs w:val="32"/>
          <w:highlight w:val="none"/>
          <w:lang w:val="en-US" w:eastAsia="zh-CN"/>
        </w:rPr>
        <w:t>或</w:t>
      </w:r>
      <w:r>
        <w:rPr>
          <w:rFonts w:hint="eastAsia" w:ascii="仿宋_GB2312" w:hAnsi="宋体" w:eastAsia="仿宋_GB2312"/>
          <w:sz w:val="32"/>
          <w:szCs w:val="32"/>
          <w:highlight w:val="none"/>
        </w:rPr>
        <w:t>主要</w:t>
      </w:r>
      <w:r>
        <w:rPr>
          <w:rFonts w:hint="eastAsia" w:ascii="仿宋_GB2312" w:hAnsi="宋体" w:eastAsia="仿宋_GB2312"/>
          <w:sz w:val="32"/>
          <w:szCs w:val="32"/>
          <w:highlight w:val="none"/>
          <w:lang w:val="en-US" w:eastAsia="zh-CN"/>
        </w:rPr>
        <w:t>贡献的</w:t>
      </w:r>
      <w:r>
        <w:rPr>
          <w:rFonts w:hint="eastAsia" w:ascii="仿宋_GB2312" w:hAnsi="宋体" w:eastAsia="仿宋_GB2312"/>
          <w:sz w:val="32"/>
          <w:szCs w:val="32"/>
          <w:highlight w:val="none"/>
        </w:rPr>
        <w:t>施工企业</w:t>
      </w:r>
      <w:r>
        <w:rPr>
          <w:rFonts w:hint="eastAsia" w:ascii="仿宋_GB2312" w:hAnsi="宋体" w:eastAsia="仿宋_GB2312"/>
          <w:sz w:val="32"/>
          <w:szCs w:val="32"/>
          <w:highlight w:val="none"/>
          <w:lang w:val="en-US" w:eastAsia="zh-CN"/>
        </w:rPr>
        <w:t>作为</w:t>
      </w:r>
      <w:r>
        <w:rPr>
          <w:rFonts w:hint="eastAsia" w:ascii="仿宋_GB2312" w:hAnsi="仿宋_GB2312" w:eastAsia="仿宋_GB2312"/>
          <w:color w:val="000000"/>
          <w:sz w:val="32"/>
          <w:szCs w:val="32"/>
          <w:highlight w:val="none"/>
        </w:rPr>
        <w:t>申报主体自愿申报；工程投入运行后，</w:t>
      </w:r>
      <w:r>
        <w:rPr>
          <w:rFonts w:hint="eastAsia" w:ascii="仿宋_GB2312" w:hAnsi="仿宋_GB2312" w:eastAsia="仿宋_GB2312"/>
          <w:color w:val="000000"/>
          <w:sz w:val="32"/>
          <w:szCs w:val="32"/>
          <w:highlight w:val="none"/>
          <w:lang w:val="en-US" w:eastAsia="zh-CN"/>
        </w:rPr>
        <w:t>也</w:t>
      </w:r>
      <w:r>
        <w:rPr>
          <w:rFonts w:hint="eastAsia" w:ascii="仿宋_GB2312" w:hAnsi="仿宋_GB2312" w:eastAsia="仿宋_GB2312"/>
          <w:color w:val="000000"/>
          <w:sz w:val="32"/>
          <w:szCs w:val="32"/>
          <w:highlight w:val="none"/>
        </w:rPr>
        <w:t>可由工程管理单位作为申报主体</w:t>
      </w:r>
      <w:r>
        <w:rPr>
          <w:rFonts w:hint="eastAsia" w:ascii="仿宋_GB2312" w:hAnsi="仿宋_GB2312" w:eastAsia="仿宋_GB2312"/>
          <w:color w:val="000000"/>
          <w:sz w:val="32"/>
          <w:szCs w:val="32"/>
          <w:highlight w:val="none"/>
          <w:lang w:val="en-US" w:eastAsia="zh-CN"/>
        </w:rPr>
        <w:t>进行申报</w:t>
      </w:r>
      <w:r>
        <w:rPr>
          <w:rFonts w:hint="eastAsia" w:ascii="仿宋_GB2312" w:hAnsi="仿宋_GB2312" w:eastAsia="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before="100" w:beforeAutospacing="0" w:after="100" w:afterAutospacing="0" w:line="600" w:lineRule="exact"/>
        <w:ind w:firstLine="640"/>
        <w:textAlignment w:val="auto"/>
        <w:outlineLvl w:val="9"/>
      </w:pPr>
      <w:r>
        <w:rPr>
          <w:rFonts w:hint="eastAsia" w:ascii="仿宋_GB2312" w:eastAsia="仿宋_GB2312"/>
          <w:b/>
          <w:bCs/>
          <w:sz w:val="32"/>
          <w:szCs w:val="32"/>
          <w:highlight w:val="none"/>
        </w:rPr>
        <w:t>第十条</w:t>
      </w:r>
      <w:r>
        <w:rPr>
          <w:rFonts w:hint="eastAsia" w:eastAsia="黑体" w:cs="宋体"/>
          <w:b/>
          <w:bCs/>
          <w:color w:val="000000"/>
          <w:sz w:val="32"/>
          <w:szCs w:val="32"/>
          <w:lang w:val="en-US" w:eastAsia="zh-CN"/>
        </w:rPr>
        <w:t xml:space="preserve">  </w:t>
      </w:r>
      <w:r>
        <w:rPr>
          <w:rFonts w:hint="eastAsia" w:ascii="仿宋_GB2312" w:hAnsi="仿宋_GB2312" w:eastAsia="仿宋_GB2312"/>
          <w:color w:val="000000"/>
          <w:sz w:val="32"/>
          <w:szCs w:val="32"/>
        </w:rPr>
        <w:t>申报单位应提交以下资料：</w:t>
      </w:r>
    </w:p>
    <w:p>
      <w:pPr>
        <w:pStyle w:val="6"/>
        <w:keepNext w:val="0"/>
        <w:keepLines w:val="0"/>
        <w:pageBreakBefore w:val="0"/>
        <w:kinsoku/>
        <w:wordWrap/>
        <w:overflowPunct/>
        <w:topLinePunct w:val="0"/>
        <w:autoSpaceDE/>
        <w:autoSpaceDN/>
        <w:bidi w:val="0"/>
        <w:adjustRightInd/>
        <w:snapToGrid/>
        <w:spacing w:beforeAutospacing="0" w:afterAutospacing="0" w:line="600" w:lineRule="exact"/>
        <w:ind w:firstLine="450" w:firstLineChars="150"/>
        <w:textAlignment w:val="auto"/>
        <w:outlineLvl w:val="9"/>
        <w:rPr>
          <w:rFonts w:ascii="仿宋_GB2312" w:hAnsi="仿宋_GB2312" w:eastAsia="仿宋_GB2312"/>
          <w:sz w:val="30"/>
          <w:szCs w:val="30"/>
        </w:rPr>
      </w:pPr>
      <w:r>
        <w:rPr>
          <w:rFonts w:hint="eastAsia" w:ascii="仿宋_GB2312" w:hAnsi="仿宋_GB2312" w:eastAsia="仿宋_GB2312"/>
          <w:sz w:val="30"/>
          <w:szCs w:val="30"/>
        </w:rPr>
        <w:t>（一）《陕西省水利工程优质（仪祉）奖申请表》，填写内容必须全面、准确，真实；</w:t>
      </w:r>
    </w:p>
    <w:p>
      <w:pPr>
        <w:pStyle w:val="6"/>
        <w:keepNext w:val="0"/>
        <w:keepLines w:val="0"/>
        <w:pageBreakBefore w:val="0"/>
        <w:kinsoku/>
        <w:wordWrap/>
        <w:overflowPunct/>
        <w:topLinePunct w:val="0"/>
        <w:autoSpaceDE/>
        <w:autoSpaceDN/>
        <w:bidi w:val="0"/>
        <w:adjustRightInd/>
        <w:snapToGrid/>
        <w:spacing w:beforeAutospacing="0" w:afterAutospacing="0" w:line="600" w:lineRule="exact"/>
        <w:ind w:firstLine="450" w:firstLineChars="150"/>
        <w:textAlignment w:val="auto"/>
        <w:outlineLvl w:val="9"/>
        <w:rPr>
          <w:rFonts w:ascii="仿宋_GB2312" w:hAnsi="仿宋_GB2312" w:eastAsia="仿宋_GB2312"/>
          <w:sz w:val="30"/>
          <w:szCs w:val="30"/>
        </w:rPr>
      </w:pPr>
      <w:r>
        <w:rPr>
          <w:rFonts w:hint="eastAsia" w:ascii="仿宋_GB2312" w:hAnsi="仿宋_GB2312" w:eastAsia="仿宋_GB2312"/>
          <w:sz w:val="30"/>
          <w:szCs w:val="30"/>
        </w:rPr>
        <w:t>（二）初步设计批复文件复印件；</w:t>
      </w:r>
    </w:p>
    <w:p>
      <w:pPr>
        <w:pStyle w:val="6"/>
        <w:keepNext w:val="0"/>
        <w:keepLines w:val="0"/>
        <w:pageBreakBefore w:val="0"/>
        <w:kinsoku/>
        <w:wordWrap/>
        <w:overflowPunct/>
        <w:topLinePunct w:val="0"/>
        <w:autoSpaceDE/>
        <w:autoSpaceDN/>
        <w:bidi w:val="0"/>
        <w:adjustRightInd/>
        <w:snapToGrid/>
        <w:spacing w:beforeAutospacing="0" w:afterAutospacing="0" w:line="600" w:lineRule="exact"/>
        <w:ind w:firstLine="450" w:firstLineChars="150"/>
        <w:textAlignment w:val="auto"/>
        <w:outlineLvl w:val="9"/>
        <w:rPr>
          <w:rFonts w:hAnsi="仿宋_GB2312" w:eastAsia="仿宋_GB2312"/>
          <w:sz w:val="30"/>
          <w:szCs w:val="30"/>
        </w:rPr>
      </w:pPr>
      <w:r>
        <w:rPr>
          <w:rFonts w:hint="eastAsia" w:ascii="仿宋_GB2312" w:hAnsi="仿宋_GB2312" w:eastAsia="仿宋_GB2312"/>
          <w:sz w:val="30"/>
          <w:szCs w:val="30"/>
        </w:rPr>
        <w:t>（三）整套工程竣工验收资料；</w:t>
      </w:r>
    </w:p>
    <w:p>
      <w:pPr>
        <w:pStyle w:val="6"/>
        <w:keepNext w:val="0"/>
        <w:keepLines w:val="0"/>
        <w:pageBreakBefore w:val="0"/>
        <w:kinsoku/>
        <w:wordWrap/>
        <w:overflowPunct/>
        <w:topLinePunct w:val="0"/>
        <w:autoSpaceDE/>
        <w:autoSpaceDN/>
        <w:bidi w:val="0"/>
        <w:adjustRightInd/>
        <w:snapToGrid/>
        <w:spacing w:beforeAutospacing="0" w:afterAutospacing="0" w:line="600" w:lineRule="exact"/>
        <w:ind w:firstLine="450" w:firstLineChars="150"/>
        <w:textAlignment w:val="auto"/>
        <w:outlineLvl w:val="9"/>
        <w:rPr>
          <w:rFonts w:ascii="仿宋_GB2312" w:hAnsi="仿宋_GB2312" w:eastAsia="仿宋_GB2312"/>
          <w:sz w:val="30"/>
          <w:szCs w:val="30"/>
        </w:rPr>
      </w:pPr>
      <w:r>
        <w:rPr>
          <w:rFonts w:hint="eastAsia" w:ascii="仿宋_GB2312" w:hAnsi="仿宋_GB2312" w:eastAsia="仿宋_GB2312"/>
          <w:sz w:val="30"/>
          <w:szCs w:val="30"/>
        </w:rPr>
        <w:t>（四）工程建设过程中曾获得的有关荣誉</w:t>
      </w:r>
      <w:r>
        <w:rPr>
          <w:rFonts w:hint="eastAsia" w:ascii="仿宋_GB2312" w:hAnsi="仿宋_GB2312" w:eastAsia="仿宋_GB2312"/>
          <w:sz w:val="30"/>
          <w:szCs w:val="30"/>
          <w:lang w:val="en-US" w:eastAsia="zh-CN"/>
        </w:rPr>
        <w:t>证书复印件</w:t>
      </w:r>
      <w:r>
        <w:rPr>
          <w:rFonts w:hint="eastAsia" w:ascii="仿宋_GB2312" w:hAnsi="仿宋_GB2312" w:eastAsia="仿宋_GB2312"/>
          <w:sz w:val="30"/>
          <w:szCs w:val="30"/>
        </w:rPr>
        <w:t>；</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450" w:firstLineChars="150"/>
        <w:textAlignment w:val="auto"/>
        <w:outlineLvl w:val="9"/>
        <w:rPr>
          <w:rFonts w:ascii="仿宋_GB2312" w:hAnsi="仿宋_GB2312" w:eastAsia="仿宋_GB2312"/>
          <w:sz w:val="30"/>
          <w:szCs w:val="30"/>
        </w:rPr>
      </w:pPr>
      <w:r>
        <w:rPr>
          <w:rFonts w:hint="eastAsia" w:ascii="仿宋_GB2312" w:hAnsi="仿宋_GB2312" w:eastAsia="仿宋_GB2312"/>
          <w:sz w:val="30"/>
          <w:szCs w:val="30"/>
        </w:rPr>
        <w:t>（五）反映工程情况有解说词的</w:t>
      </w:r>
      <w:r>
        <w:rPr>
          <w:rFonts w:hint="eastAsia" w:ascii="仿宋_GB2312" w:hAnsi="仿宋_GB2312" w:eastAsia="仿宋_GB2312"/>
          <w:sz w:val="30"/>
          <w:szCs w:val="30"/>
          <w:lang w:val="en-US" w:eastAsia="zh-CN"/>
        </w:rPr>
        <w:t>视频资料</w:t>
      </w:r>
      <w:r>
        <w:rPr>
          <w:rFonts w:hint="eastAsia" w:ascii="仿宋_GB2312" w:hAnsi="仿宋_GB2312" w:eastAsia="仿宋_GB2312"/>
          <w:sz w:val="30"/>
          <w:szCs w:val="30"/>
        </w:rPr>
        <w:t>（10分钟左右）。内容要反映工程全貌、工程质量、主要建筑物内外处理效果、工程管理范围内环境景观以及使用的新技术、新工艺等。</w:t>
      </w:r>
    </w:p>
    <w:p>
      <w:pPr>
        <w:keepNext w:val="0"/>
        <w:keepLines w:val="0"/>
        <w:pageBreakBefore w:val="0"/>
        <w:kinsoku/>
        <w:wordWrap/>
        <w:overflowPunct/>
        <w:topLinePunct w:val="0"/>
        <w:autoSpaceDE/>
        <w:autoSpaceDN/>
        <w:bidi w:val="0"/>
        <w:adjustRightInd/>
        <w:snapToGrid/>
        <w:spacing w:before="100" w:beforeAutospacing="0" w:after="100" w:afterAutospacing="0" w:line="600" w:lineRule="exact"/>
        <w:ind w:firstLine="640"/>
        <w:textAlignment w:val="auto"/>
        <w:outlineLvl w:val="9"/>
        <w:rPr>
          <w:color w:val="000000" w:themeColor="text1"/>
          <w14:textFill>
            <w14:solidFill>
              <w14:schemeClr w14:val="tx1"/>
            </w14:solidFill>
          </w14:textFill>
        </w:rPr>
      </w:pPr>
      <w:r>
        <w:rPr>
          <w:rFonts w:hint="eastAsia" w:ascii="仿宋_GB2312" w:hAnsi="仿宋_GB2312" w:eastAsia="仿宋_GB2312"/>
          <w:sz w:val="30"/>
          <w:szCs w:val="30"/>
        </w:rPr>
        <w:t>以上资料要求的</w:t>
      </w:r>
      <w:r>
        <w:rPr>
          <w:rFonts w:hint="eastAsia" w:ascii="仿宋_GB2312" w:hAnsi="仿宋_GB2312" w:eastAsia="仿宋_GB2312"/>
          <w:sz w:val="30"/>
          <w:szCs w:val="30"/>
          <w:lang w:val="en-US" w:eastAsia="zh-CN"/>
        </w:rPr>
        <w:t>纸质版一式三份，并附电子版，</w:t>
      </w:r>
      <w:r>
        <w:rPr>
          <w:rFonts w:hint="eastAsia" w:ascii="仿宋_GB2312" w:hAnsi="仿宋_GB2312" w:eastAsia="仿宋_GB2312"/>
          <w:sz w:val="30"/>
          <w:szCs w:val="30"/>
        </w:rPr>
        <w:t>报送时间按当年关于</w:t>
      </w:r>
      <w:r>
        <w:rPr>
          <w:rFonts w:hint="eastAsia" w:ascii="仿宋_GB2312" w:hAnsi="仿宋_GB2312" w:eastAsia="仿宋_GB2312"/>
          <w:color w:val="000000" w:themeColor="text1"/>
          <w:sz w:val="30"/>
          <w:szCs w:val="30"/>
          <w14:textFill>
            <w14:solidFill>
              <w14:schemeClr w14:val="tx1"/>
            </w14:solidFill>
          </w14:textFill>
        </w:rPr>
        <w:t>仪祉工程奖评选活动的有关通知执行。</w:t>
      </w:r>
    </w:p>
    <w:p>
      <w:pPr>
        <w:pStyle w:val="6"/>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3" w:firstLineChars="200"/>
        <w:textAlignment w:val="auto"/>
        <w:outlineLvl w:val="9"/>
        <w:rPr>
          <w:rFonts w:ascii="仿宋_GB2312" w:eastAsia="仿宋_GB2312"/>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第十一条</w:t>
      </w:r>
      <w:r>
        <w:rPr>
          <w:rFonts w:hint="eastAsia" w:eastAsia="仿宋_GB2312"/>
          <w:color w:val="000000" w:themeColor="text1"/>
          <w:sz w:val="32"/>
          <w:szCs w:val="32"/>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申报程序为：</w:t>
      </w:r>
    </w:p>
    <w:p>
      <w:pPr>
        <w:keepNext w:val="0"/>
        <w:keepLines w:val="0"/>
        <w:pageBreakBefore w:val="0"/>
        <w:widowControl/>
        <w:kinsoku/>
        <w:wordWrap/>
        <w:overflowPunct/>
        <w:topLinePunct w:val="0"/>
        <w:autoSpaceDE/>
        <w:autoSpaceDN/>
        <w:bidi w:val="0"/>
        <w:adjustRightInd w:val="0"/>
        <w:snapToGrid w:val="0"/>
        <w:spacing w:after="0" w:line="640" w:lineRule="exact"/>
        <w:ind w:firstLine="640" w:firstLineChars="200"/>
        <w:textAlignment w:val="auto"/>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（一）省级、省直属单位负责建设管理的工程，</w:t>
      </w:r>
      <w:r>
        <w:rPr>
          <w:rFonts w:hint="eastAsia" w:ascii="仿宋_GB2312" w:hAnsi="Times New Roman" w:eastAsia="仿宋_GB2312"/>
          <w:color w:val="000000"/>
          <w:sz w:val="32"/>
          <w:szCs w:val="32"/>
          <w:lang w:val="en-US" w:eastAsia="zh-CN"/>
        </w:rPr>
        <w:t>由</w:t>
      </w:r>
      <w:r>
        <w:rPr>
          <w:rFonts w:hint="eastAsia" w:ascii="仿宋_GB2312" w:hAnsi="Times New Roman" w:eastAsia="仿宋_GB2312"/>
          <w:color w:val="000000"/>
          <w:sz w:val="32"/>
          <w:szCs w:val="32"/>
        </w:rPr>
        <w:t>项目法人签署推荐意见</w:t>
      </w:r>
      <w:r>
        <w:rPr>
          <w:rFonts w:hint="eastAsia" w:ascii="仿宋_GB2312" w:hAnsi="Times New Roman" w:eastAsia="仿宋_GB2312"/>
          <w:color w:val="000000"/>
          <w:sz w:val="32"/>
          <w:szCs w:val="32"/>
          <w:lang w:eastAsia="zh-CN"/>
        </w:rPr>
        <w:t>，</w:t>
      </w:r>
      <w:r>
        <w:rPr>
          <w:rFonts w:hint="eastAsia" w:ascii="仿宋_GB2312" w:hAnsi="Times New Roman" w:eastAsia="仿宋_GB2312"/>
          <w:color w:val="000000"/>
          <w:sz w:val="32"/>
          <w:szCs w:val="32"/>
        </w:rPr>
        <w:t>加盖公章后申报。</w:t>
      </w:r>
    </w:p>
    <w:p>
      <w:pPr>
        <w:keepNext w:val="0"/>
        <w:keepLines w:val="0"/>
        <w:pageBreakBefore w:val="0"/>
        <w:widowControl/>
        <w:kinsoku/>
        <w:wordWrap/>
        <w:overflowPunct/>
        <w:topLinePunct w:val="0"/>
        <w:autoSpaceDE/>
        <w:autoSpaceDN/>
        <w:bidi w:val="0"/>
        <w:adjustRightInd w:val="0"/>
        <w:snapToGrid w:val="0"/>
        <w:spacing w:after="0" w:line="640" w:lineRule="exact"/>
        <w:ind w:firstLine="640" w:firstLineChars="200"/>
        <w:textAlignment w:val="auto"/>
        <w:rPr>
          <w:rFonts w:hint="eastAsia" w:ascii="仿宋_GB2312" w:eastAsia="仿宋_GB2312"/>
          <w:color w:val="000000"/>
          <w:sz w:val="32"/>
          <w:szCs w:val="32"/>
          <w:lang w:eastAsia="zh-CN"/>
        </w:rPr>
      </w:pPr>
      <w:r>
        <w:rPr>
          <w:rFonts w:hint="eastAsia" w:ascii="仿宋_GB2312" w:hAnsi="Times New Roman" w:eastAsia="仿宋_GB2312"/>
          <w:color w:val="000000"/>
          <w:sz w:val="32"/>
          <w:szCs w:val="32"/>
        </w:rPr>
        <w:t>（二）县、市负责建设管理的工程，由工程所在地水行政主管部门审查并签署推荐意见</w:t>
      </w:r>
      <w:r>
        <w:rPr>
          <w:rFonts w:hint="eastAsia" w:ascii="仿宋_GB2312" w:hAnsi="Times New Roman" w:eastAsia="仿宋_GB2312"/>
          <w:color w:val="000000"/>
          <w:sz w:val="32"/>
          <w:szCs w:val="32"/>
          <w:lang w:val="en-US" w:eastAsia="zh-CN"/>
        </w:rPr>
        <w:t>，</w:t>
      </w:r>
      <w:r>
        <w:rPr>
          <w:rFonts w:hint="eastAsia" w:ascii="仿宋_GB2312" w:hAnsi="Times New Roman" w:eastAsia="仿宋_GB2312"/>
          <w:color w:val="000000"/>
          <w:sz w:val="32"/>
          <w:szCs w:val="32"/>
        </w:rPr>
        <w:t>加盖公章后申报</w:t>
      </w:r>
      <w:r>
        <w:rPr>
          <w:rFonts w:hint="eastAsia" w:ascii="仿宋_GB2312" w:eastAsia="仿宋_GB2312"/>
          <w:color w:val="000000"/>
          <w:sz w:val="32"/>
          <w:szCs w:val="32"/>
          <w:lang w:eastAsia="zh-CN"/>
        </w:rPr>
        <w:t>。</w:t>
      </w:r>
    </w:p>
    <w:p>
      <w:pPr>
        <w:keepNext w:val="0"/>
        <w:keepLines w:val="0"/>
        <w:pageBreakBefore w:val="0"/>
        <w:widowControl/>
        <w:kinsoku/>
        <w:wordWrap/>
        <w:overflowPunct/>
        <w:topLinePunct w:val="0"/>
        <w:autoSpaceDE/>
        <w:autoSpaceDN/>
        <w:bidi w:val="0"/>
        <w:adjustRightInd w:val="0"/>
        <w:snapToGrid w:val="0"/>
        <w:spacing w:after="0" w:line="640" w:lineRule="exact"/>
        <w:ind w:firstLine="640" w:firstLineChars="200"/>
        <w:textAlignment w:val="auto"/>
        <w:rPr>
          <w:rFonts w:hint="eastAsia" w:ascii="仿宋_GB2312" w:eastAsia="仿宋_GB2312"/>
          <w:color w:val="000000"/>
          <w:sz w:val="32"/>
          <w:szCs w:val="32"/>
          <w:lang w:eastAsia="zh-CN"/>
        </w:rPr>
      </w:pPr>
    </w:p>
    <w:p>
      <w:pPr>
        <w:pStyle w:val="6"/>
        <w:keepNext w:val="0"/>
        <w:keepLines w:val="0"/>
        <w:pageBreakBefore w:val="0"/>
        <w:kinsoku/>
        <w:wordWrap/>
        <w:overflowPunct/>
        <w:topLinePunct w:val="0"/>
        <w:autoSpaceDE/>
        <w:autoSpaceDN/>
        <w:bidi w:val="0"/>
        <w:adjustRightInd/>
        <w:snapToGrid/>
        <w:spacing w:beforeAutospacing="0" w:afterAutospacing="0" w:line="600" w:lineRule="exact"/>
        <w:jc w:val="center"/>
        <w:textAlignment w:val="auto"/>
        <w:outlineLvl w:val="9"/>
        <w:rPr>
          <w:rFonts w:ascii="黑体" w:eastAsia="黑体"/>
          <w:bCs/>
          <w:color w:val="000000" w:themeColor="text1"/>
          <w:sz w:val="32"/>
          <w:szCs w:val="32"/>
          <w14:textFill>
            <w14:solidFill>
              <w14:schemeClr w14:val="tx1"/>
            </w14:solidFill>
          </w14:textFill>
        </w:rPr>
      </w:pPr>
      <w:r>
        <w:rPr>
          <w:rFonts w:hint="eastAsia" w:ascii="黑体" w:eastAsia="黑体"/>
          <w:bCs/>
          <w:color w:val="000000" w:themeColor="text1"/>
          <w:sz w:val="32"/>
          <w:szCs w:val="32"/>
          <w14:textFill>
            <w14:solidFill>
              <w14:schemeClr w14:val="tx1"/>
            </w14:solidFill>
          </w14:textFill>
        </w:rPr>
        <w:t>第</w:t>
      </w:r>
      <w:r>
        <w:rPr>
          <w:rFonts w:hint="eastAsia" w:ascii="黑体" w:eastAsia="黑体"/>
          <w:bCs/>
          <w:color w:val="000000" w:themeColor="text1"/>
          <w:sz w:val="32"/>
          <w:szCs w:val="32"/>
          <w:lang w:val="en-US" w:eastAsia="zh-CN"/>
          <w14:textFill>
            <w14:solidFill>
              <w14:schemeClr w14:val="tx1"/>
            </w14:solidFill>
          </w14:textFill>
        </w:rPr>
        <w:t>四</w:t>
      </w:r>
      <w:r>
        <w:rPr>
          <w:rFonts w:hint="eastAsia" w:ascii="黑体" w:eastAsia="黑体"/>
          <w:bCs/>
          <w:color w:val="000000" w:themeColor="text1"/>
          <w:sz w:val="32"/>
          <w:szCs w:val="32"/>
          <w14:textFill>
            <w14:solidFill>
              <w14:schemeClr w14:val="tx1"/>
            </w14:solidFill>
          </w14:textFill>
        </w:rPr>
        <w:t>章   奖项评审</w:t>
      </w:r>
    </w:p>
    <w:p>
      <w:pPr>
        <w:pStyle w:val="6"/>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3" w:firstLineChars="200"/>
        <w:textAlignment w:val="auto"/>
        <w:outlineLvl w:val="9"/>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第十二条</w:t>
      </w:r>
      <w:r>
        <w:rPr>
          <w:rFonts w:hint="eastAsia" w:eastAsia="仿宋_GB2312"/>
          <w:color w:val="000000" w:themeColor="text1"/>
          <w:sz w:val="32"/>
          <w:szCs w:val="32"/>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仪祉工程奖的评审由</w:t>
      </w:r>
      <w:r>
        <w:rPr>
          <w:rFonts w:hint="eastAsia" w:ascii="仿宋_GB2312" w:eastAsia="仿宋_GB2312"/>
          <w:color w:val="000000" w:themeColor="text1"/>
          <w:sz w:val="32"/>
          <w:szCs w:val="32"/>
          <w:lang w:val="en-US" w:eastAsia="zh-CN"/>
          <w14:textFill>
            <w14:solidFill>
              <w14:schemeClr w14:val="tx1"/>
            </w14:solidFill>
          </w14:textFill>
        </w:rPr>
        <w:t>协会</w:t>
      </w:r>
      <w:r>
        <w:rPr>
          <w:rFonts w:hint="eastAsia" w:ascii="仿宋_GB2312" w:eastAsia="仿宋_GB2312"/>
          <w:color w:val="000000" w:themeColor="text1"/>
          <w:sz w:val="32"/>
          <w:szCs w:val="32"/>
          <w14:textFill>
            <w14:solidFill>
              <w14:schemeClr w14:val="tx1"/>
            </w14:solidFill>
          </w14:textFill>
        </w:rPr>
        <w:t>负责。按照受理初审、复审</w:t>
      </w:r>
      <w:r>
        <w:rPr>
          <w:rFonts w:hint="eastAsia" w:ascii="仿宋_GB2312" w:eastAsia="仿宋_GB2312"/>
          <w:color w:val="000000" w:themeColor="text1"/>
          <w:sz w:val="32"/>
          <w:szCs w:val="32"/>
          <w:lang w:val="en-US" w:eastAsia="zh-CN"/>
          <w14:textFill>
            <w14:solidFill>
              <w14:schemeClr w14:val="tx1"/>
            </w14:solidFill>
          </w14:textFill>
        </w:rPr>
        <w:t>复查</w:t>
      </w: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综合</w:t>
      </w:r>
      <w:r>
        <w:rPr>
          <w:rFonts w:hint="eastAsia" w:ascii="仿宋_GB2312" w:eastAsia="仿宋_GB2312"/>
          <w:color w:val="000000" w:themeColor="text1"/>
          <w:sz w:val="32"/>
          <w:szCs w:val="32"/>
          <w14:textFill>
            <w14:solidFill>
              <w14:schemeClr w14:val="tx1"/>
            </w14:solidFill>
          </w14:textFill>
        </w:rPr>
        <w:t>评审和</w:t>
      </w:r>
      <w:r>
        <w:rPr>
          <w:rFonts w:hint="eastAsia" w:ascii="仿宋_GB2312" w:eastAsia="仿宋_GB2312"/>
          <w:color w:val="000000" w:themeColor="text1"/>
          <w:sz w:val="32"/>
          <w:szCs w:val="32"/>
          <w:lang w:val="en-US" w:eastAsia="zh-CN"/>
          <w14:textFill>
            <w14:solidFill>
              <w14:schemeClr w14:val="tx1"/>
            </w14:solidFill>
          </w14:textFill>
        </w:rPr>
        <w:t>结果</w:t>
      </w:r>
      <w:r>
        <w:rPr>
          <w:rFonts w:hint="eastAsia" w:ascii="仿宋_GB2312" w:eastAsia="仿宋_GB2312"/>
          <w:color w:val="000000" w:themeColor="text1"/>
          <w:sz w:val="32"/>
          <w:szCs w:val="32"/>
          <w14:textFill>
            <w14:solidFill>
              <w14:schemeClr w14:val="tx1"/>
            </w14:solidFill>
          </w14:textFill>
        </w:rPr>
        <w:t>公示4个程序进行。</w:t>
      </w:r>
    </w:p>
    <w:p>
      <w:pPr>
        <w:pStyle w:val="6"/>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textAlignment w:val="auto"/>
        <w:outlineLvl w:val="9"/>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仪祉工程奖评审委员会的常设办事机构为陕西省水利工程协会</w:t>
      </w:r>
      <w:r>
        <w:rPr>
          <w:rFonts w:hint="eastAsia" w:ascii="仿宋_GB2312" w:eastAsia="仿宋_GB2312"/>
          <w:color w:val="000000" w:themeColor="text1"/>
          <w:sz w:val="32"/>
          <w:szCs w:val="32"/>
          <w:lang w:val="en-US" w:eastAsia="zh-CN"/>
          <w14:textFill>
            <w14:solidFill>
              <w14:schemeClr w14:val="tx1"/>
            </w14:solidFill>
          </w14:textFill>
        </w:rPr>
        <w:t>秘书处</w:t>
      </w:r>
      <w:r>
        <w:rPr>
          <w:rFonts w:hint="eastAsia" w:ascii="仿宋_GB2312" w:eastAsia="仿宋_GB2312"/>
          <w:color w:val="000000" w:themeColor="text1"/>
          <w:sz w:val="32"/>
          <w:szCs w:val="32"/>
          <w14:textFill>
            <w14:solidFill>
              <w14:schemeClr w14:val="tx1"/>
            </w14:solidFill>
          </w14:textFill>
        </w:rPr>
        <w:t>。负责受理仪祉工程奖的申报受理和初审、复审和评审情况汇总等日常工作。</w:t>
      </w:r>
    </w:p>
    <w:p>
      <w:pPr>
        <w:pStyle w:val="6"/>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3" w:firstLineChars="200"/>
        <w:textAlignment w:val="auto"/>
        <w:outlineLvl w:val="9"/>
        <w:rPr>
          <w:rFonts w:ascii="仿宋_GB2312" w:eastAsia="仿宋_GB2312"/>
          <w:sz w:val="32"/>
          <w:szCs w:val="32"/>
        </w:rPr>
      </w:pPr>
      <w:r>
        <w:rPr>
          <w:rFonts w:hint="eastAsia" w:ascii="仿宋_GB2312" w:eastAsia="仿宋_GB2312"/>
          <w:b/>
          <w:bCs/>
          <w:sz w:val="32"/>
          <w:szCs w:val="32"/>
        </w:rPr>
        <w:t xml:space="preserve">第十三条 </w:t>
      </w:r>
      <w:r>
        <w:rPr>
          <w:rFonts w:hint="eastAsia" w:eastAsia="仿宋_GB2312"/>
          <w:b/>
          <w:bCs/>
          <w:sz w:val="32"/>
          <w:szCs w:val="32"/>
        </w:rPr>
        <w:t xml:space="preserve"> </w:t>
      </w:r>
      <w:r>
        <w:rPr>
          <w:rFonts w:hint="eastAsia" w:ascii="仿宋_GB2312" w:eastAsia="仿宋_GB2312"/>
          <w:sz w:val="32"/>
          <w:szCs w:val="32"/>
        </w:rPr>
        <w:t>仪祉工程奖评审委员会由水利行业工程建设的专家和相关业务主管部门的负责人组成，为5人以上的单数，其中，协会常务理事、理事应占三分之二以上。评审委员会设主任1人，委员若干。</w:t>
      </w:r>
    </w:p>
    <w:p>
      <w:pPr>
        <w:pStyle w:val="6"/>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3" w:firstLineChars="200"/>
        <w:textAlignment w:val="auto"/>
        <w:outlineLvl w:val="9"/>
        <w:rPr>
          <w:rFonts w:ascii="仿宋_GB2312" w:eastAsia="仿宋_GB2312"/>
          <w:sz w:val="32"/>
          <w:szCs w:val="32"/>
        </w:rPr>
      </w:pPr>
      <w:r>
        <w:rPr>
          <w:rFonts w:hint="eastAsia" w:ascii="仿宋_GB2312" w:eastAsia="仿宋_GB2312"/>
          <w:b/>
          <w:bCs/>
          <w:sz w:val="32"/>
          <w:szCs w:val="32"/>
        </w:rPr>
        <w:t>第十四条</w:t>
      </w:r>
      <w:r>
        <w:rPr>
          <w:rFonts w:hint="eastAsia" w:ascii="仿宋_GB2312" w:eastAsia="仿宋_GB2312"/>
          <w:sz w:val="32"/>
          <w:szCs w:val="32"/>
        </w:rPr>
        <w:t xml:space="preserve">  </w:t>
      </w:r>
      <w:r>
        <w:rPr>
          <w:rFonts w:hint="eastAsia" w:ascii="仿宋_GB2312" w:eastAsia="仿宋_GB2312"/>
          <w:sz w:val="32"/>
          <w:szCs w:val="32"/>
          <w:lang w:val="en-US" w:eastAsia="zh-CN"/>
        </w:rPr>
        <w:t>协会</w:t>
      </w:r>
      <w:r>
        <w:rPr>
          <w:rFonts w:hint="eastAsia" w:ascii="仿宋_GB2312" w:eastAsia="仿宋_GB2312"/>
          <w:sz w:val="32"/>
          <w:szCs w:val="32"/>
        </w:rPr>
        <w:t>依据本办法规定的申报范围、申报条件对申报工程的资料进行</w:t>
      </w:r>
      <w:r>
        <w:rPr>
          <w:rFonts w:hint="eastAsia" w:ascii="仿宋_GB2312" w:eastAsia="仿宋_GB2312"/>
          <w:sz w:val="32"/>
          <w:szCs w:val="32"/>
          <w:lang w:val="en-US" w:eastAsia="zh-CN"/>
        </w:rPr>
        <w:t>受理初审</w:t>
      </w:r>
      <w:r>
        <w:rPr>
          <w:rFonts w:hint="eastAsia" w:ascii="仿宋_GB2312" w:eastAsia="仿宋_GB2312"/>
          <w:sz w:val="32"/>
          <w:szCs w:val="32"/>
        </w:rPr>
        <w:t>，提出初审合格工程名单。</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3" w:firstLineChars="200"/>
        <w:textAlignment w:val="auto"/>
        <w:outlineLvl w:val="9"/>
        <w:rPr>
          <w:rFonts w:hint="eastAsia" w:ascii="仿宋_GB2312" w:eastAsia="仿宋_GB2312"/>
          <w:sz w:val="32"/>
          <w:szCs w:val="32"/>
          <w:lang w:val="en-US" w:eastAsia="zh-CN"/>
        </w:rPr>
      </w:pPr>
      <w:r>
        <w:rPr>
          <w:rFonts w:hint="eastAsia" w:ascii="仿宋_GB2312" w:eastAsia="仿宋_GB2312"/>
          <w:b/>
          <w:bCs/>
          <w:sz w:val="32"/>
          <w:szCs w:val="32"/>
        </w:rPr>
        <w:t>第十五条</w:t>
      </w:r>
      <w:r>
        <w:rPr>
          <w:rFonts w:hint="eastAsia" w:ascii="仿宋_GB2312" w:eastAsia="仿宋_GB2312"/>
          <w:sz w:val="32"/>
          <w:szCs w:val="32"/>
        </w:rPr>
        <w:t xml:space="preserve">  协会根据申报项目情况，确定由3名以上单数不同专业、具有丰富工程建设经验的专家组成复审专家组，对初审</w:t>
      </w:r>
      <w:r>
        <w:rPr>
          <w:rFonts w:hint="eastAsia" w:ascii="仿宋_GB2312" w:eastAsia="仿宋_GB2312"/>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eastAsia" w:ascii="仿宋_GB2312" w:eastAsia="仿宋_GB2312"/>
          <w:sz w:val="32"/>
          <w:szCs w:val="32"/>
          <w:lang w:val="en-US" w:eastAsia="zh-CN"/>
        </w:rPr>
      </w:pPr>
    </w:p>
    <w:p>
      <w:pPr>
        <w:keepNext w:val="0"/>
        <w:keepLines w:val="0"/>
        <w:pageBreakBefore w:val="0"/>
        <w:kinsoku/>
        <w:wordWrap/>
        <w:overflowPunct/>
        <w:topLinePunct w:val="0"/>
        <w:autoSpaceDE/>
        <w:autoSpaceDN/>
        <w:bidi w:val="0"/>
        <w:adjustRightInd/>
        <w:snapToGrid/>
        <w:spacing w:beforeAutospacing="0" w:afterAutospacing="0" w:line="600" w:lineRule="exact"/>
        <w:textAlignment w:val="auto"/>
        <w:outlineLvl w:val="9"/>
        <w:rPr>
          <w:rFonts w:hint="eastAsia" w:eastAsia="仿宋_GB2312"/>
          <w:sz w:val="32"/>
          <w:szCs w:val="32"/>
          <w:lang w:eastAsia="zh-CN"/>
        </w:rPr>
      </w:pPr>
      <w:r>
        <w:rPr>
          <w:rFonts w:hint="eastAsia" w:ascii="仿宋_GB2312" w:eastAsia="仿宋_GB2312"/>
          <w:sz w:val="32"/>
          <w:szCs w:val="32"/>
        </w:rPr>
        <w:t>合格的工程进行</w:t>
      </w:r>
      <w:r>
        <w:rPr>
          <w:rFonts w:hint="eastAsia" w:ascii="仿宋_GB2312" w:eastAsia="仿宋_GB2312"/>
          <w:sz w:val="32"/>
          <w:szCs w:val="32"/>
          <w:lang w:val="en-US" w:eastAsia="zh-CN"/>
        </w:rPr>
        <w:t>复查</w:t>
      </w:r>
      <w:r>
        <w:rPr>
          <w:rFonts w:hint="eastAsia" w:ascii="仿宋_GB2312" w:eastAsia="仿宋_GB2312"/>
          <w:sz w:val="32"/>
          <w:szCs w:val="32"/>
        </w:rPr>
        <w:t>复审。复审专家组应对申报工程进行现场抽查，必要时，向工程建设单位或其主管部门进行走访了解。复审专家组复查结束后向评审委员会提交书面复审</w:t>
      </w:r>
      <w:r>
        <w:rPr>
          <w:rFonts w:hint="eastAsia" w:ascii="仿宋_GB2312" w:eastAsia="仿宋_GB2312"/>
          <w:sz w:val="32"/>
          <w:szCs w:val="32"/>
          <w:lang w:val="en-US" w:eastAsia="zh-CN"/>
        </w:rPr>
        <w:t>复查</w:t>
      </w:r>
      <w:r>
        <w:rPr>
          <w:rFonts w:hint="eastAsia" w:ascii="仿宋_GB2312" w:eastAsia="仿宋_GB2312"/>
          <w:sz w:val="32"/>
          <w:szCs w:val="32"/>
        </w:rPr>
        <w:t>报告并对工程复审</w:t>
      </w:r>
      <w:r>
        <w:rPr>
          <w:rFonts w:hint="eastAsia" w:ascii="仿宋_GB2312" w:eastAsia="仿宋_GB2312"/>
          <w:sz w:val="32"/>
          <w:szCs w:val="32"/>
          <w:lang w:val="en-US" w:eastAsia="zh-CN"/>
        </w:rPr>
        <w:t>复查</w:t>
      </w:r>
      <w:r>
        <w:rPr>
          <w:rFonts w:hint="eastAsia" w:ascii="仿宋_GB2312" w:eastAsia="仿宋_GB2312"/>
          <w:sz w:val="32"/>
          <w:szCs w:val="32"/>
        </w:rPr>
        <w:t>情况负责</w:t>
      </w:r>
      <w:r>
        <w:rPr>
          <w:rFonts w:hint="eastAsia" w:ascii="仿宋_GB2312" w:eastAsia="仿宋_GB2312"/>
          <w:sz w:val="32"/>
          <w:szCs w:val="32"/>
          <w:lang w:eastAsia="zh-CN"/>
        </w:rPr>
        <w:t>。</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3" w:firstLineChars="200"/>
        <w:textAlignment w:val="auto"/>
        <w:outlineLvl w:val="9"/>
        <w:rPr>
          <w:rFonts w:ascii="仿宋_GB2312" w:eastAsia="仿宋_GB2312"/>
          <w:sz w:val="32"/>
          <w:szCs w:val="32"/>
        </w:rPr>
      </w:pPr>
      <w:r>
        <w:rPr>
          <w:rFonts w:hint="eastAsia" w:ascii="仿宋_GB2312" w:eastAsia="仿宋_GB2312"/>
          <w:b/>
          <w:bCs/>
          <w:sz w:val="32"/>
          <w:szCs w:val="32"/>
        </w:rPr>
        <w:t xml:space="preserve">第十六条  </w:t>
      </w:r>
      <w:r>
        <w:rPr>
          <w:rFonts w:hint="eastAsia" w:ascii="仿宋_GB2312" w:hAnsi="宋体" w:eastAsia="仿宋_GB2312"/>
          <w:sz w:val="32"/>
          <w:szCs w:val="32"/>
        </w:rPr>
        <w:t>工程现场抽查的内容与要求：</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jc w:val="left"/>
        <w:textAlignment w:val="auto"/>
        <w:outlineLvl w:val="9"/>
        <w:rPr>
          <w:rFonts w:ascii="仿宋_GB2312" w:hAnsi="宋体" w:eastAsia="仿宋_GB2312"/>
          <w:sz w:val="32"/>
          <w:szCs w:val="32"/>
        </w:rPr>
      </w:pPr>
      <w:r>
        <w:rPr>
          <w:rFonts w:hint="eastAsia" w:ascii="仿宋_GB2312" w:hAnsi="宋体" w:eastAsia="仿宋_GB2312"/>
          <w:sz w:val="32"/>
          <w:szCs w:val="32"/>
        </w:rPr>
        <w:t>（一）听取申报单位</w:t>
      </w:r>
      <w:r>
        <w:rPr>
          <w:rFonts w:hint="eastAsia" w:ascii="仿宋_GB2312" w:hAnsi="宋体" w:eastAsia="仿宋_GB2312"/>
          <w:sz w:val="32"/>
          <w:szCs w:val="32"/>
          <w:lang w:val="en-US" w:eastAsia="zh-CN"/>
        </w:rPr>
        <w:t>工程建设</w:t>
      </w:r>
      <w:r>
        <w:rPr>
          <w:rFonts w:hint="eastAsia" w:ascii="仿宋_GB2312" w:hAnsi="宋体" w:eastAsia="仿宋_GB2312"/>
          <w:sz w:val="32"/>
          <w:szCs w:val="32"/>
        </w:rPr>
        <w:t>情况介绍</w:t>
      </w:r>
      <w:r>
        <w:rPr>
          <w:rFonts w:hint="eastAsia" w:ascii="仿宋_GB2312" w:hAnsi="宋体" w:eastAsia="仿宋_GB2312"/>
          <w:sz w:val="32"/>
          <w:szCs w:val="32"/>
          <w:lang w:eastAsia="zh-CN"/>
        </w:rPr>
        <w:t>，</w:t>
      </w:r>
      <w:r>
        <w:rPr>
          <w:rFonts w:hint="eastAsia" w:ascii="仿宋_GB2312" w:hAnsi="宋体" w:eastAsia="仿宋_GB2312"/>
          <w:sz w:val="32"/>
          <w:szCs w:val="32"/>
        </w:rPr>
        <w:t>并实地查看工程质量；</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jc w:val="left"/>
        <w:textAlignment w:val="auto"/>
        <w:outlineLvl w:val="9"/>
        <w:rPr>
          <w:rFonts w:ascii="仿宋_GB2312" w:eastAsia="仿宋_GB2312"/>
          <w:sz w:val="32"/>
          <w:szCs w:val="32"/>
        </w:rPr>
      </w:pPr>
      <w:r>
        <w:rPr>
          <w:rFonts w:hint="eastAsia" w:ascii="仿宋_GB2312" w:hAnsi="宋体" w:eastAsia="仿宋_GB2312"/>
          <w:sz w:val="32"/>
          <w:szCs w:val="32"/>
        </w:rPr>
        <w:t>（二）</w:t>
      </w:r>
      <w:r>
        <w:rPr>
          <w:rFonts w:hint="eastAsia" w:ascii="仿宋_GB2312" w:eastAsia="仿宋_GB2312"/>
          <w:sz w:val="32"/>
          <w:szCs w:val="32"/>
        </w:rPr>
        <w:t>查阅工程有关立项、审批和技术与质量等档案资料；</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（三）听取工程运行管理单位对工程质量及运行状况的评价意见；</w:t>
      </w:r>
    </w:p>
    <w:p>
      <w:pPr>
        <w:pStyle w:val="6"/>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textAlignment w:val="auto"/>
        <w:outlineLvl w:val="9"/>
        <w:rPr>
          <w:rFonts w:hint="eastAsia" w:ascii="仿宋_GB2312" w:eastAsia="仿宋_GB2312"/>
          <w:sz w:val="32"/>
          <w:szCs w:val="32"/>
          <w:lang w:val="en-US" w:eastAsia="zh-CN"/>
        </w:rPr>
      </w:pPr>
      <w:r>
        <w:rPr>
          <w:rFonts w:hint="eastAsia" w:ascii="仿宋_GB2312" w:eastAsia="仿宋_GB2312"/>
          <w:sz w:val="32"/>
          <w:szCs w:val="32"/>
        </w:rPr>
        <w:t>（四）</w:t>
      </w:r>
      <w:r>
        <w:rPr>
          <w:rFonts w:hint="eastAsia" w:ascii="仿宋_GB2312" w:eastAsia="仿宋_GB2312"/>
          <w:sz w:val="32"/>
          <w:szCs w:val="32"/>
          <w:lang w:val="en-US" w:eastAsia="zh-CN"/>
        </w:rPr>
        <w:t>对工程现状及有关问题进行质询；</w:t>
      </w:r>
    </w:p>
    <w:p>
      <w:pPr>
        <w:pStyle w:val="6"/>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textAlignment w:val="auto"/>
        <w:outlineLvl w:val="9"/>
        <w:rPr>
          <w:rFonts w:hint="eastAsia" w:ascii="仿宋_GB2312" w:eastAsia="仿宋_GB2312"/>
          <w:sz w:val="32"/>
          <w:szCs w:val="32"/>
          <w:lang w:val="en-US" w:eastAsia="zh-CN"/>
        </w:rPr>
      </w:pPr>
      <w:r>
        <w:rPr>
          <w:rFonts w:hint="eastAsia" w:ascii="仿宋_GB2312" w:eastAsia="仿宋_GB2312"/>
          <w:sz w:val="32"/>
          <w:szCs w:val="32"/>
        </w:rPr>
        <w:t>（</w:t>
      </w:r>
      <w:r>
        <w:rPr>
          <w:rFonts w:hint="eastAsia" w:ascii="仿宋_GB2312" w:eastAsia="仿宋_GB2312"/>
          <w:sz w:val="32"/>
          <w:szCs w:val="32"/>
          <w:lang w:val="en-US" w:eastAsia="zh-CN"/>
        </w:rPr>
        <w:t>五</w:t>
      </w:r>
      <w:r>
        <w:rPr>
          <w:rFonts w:hint="eastAsia" w:ascii="仿宋_GB2312" w:eastAsia="仿宋_GB2312"/>
          <w:sz w:val="32"/>
          <w:szCs w:val="32"/>
        </w:rPr>
        <w:t>）</w:t>
      </w:r>
      <w:r>
        <w:rPr>
          <w:rFonts w:hint="eastAsia" w:ascii="仿宋_GB2312" w:eastAsia="仿宋_GB2312"/>
          <w:sz w:val="32"/>
          <w:szCs w:val="32"/>
          <w:lang w:val="en-US" w:eastAsia="zh-CN"/>
        </w:rPr>
        <w:t>对工程进行赋分、评价；</w:t>
      </w:r>
    </w:p>
    <w:p>
      <w:pPr>
        <w:pStyle w:val="6"/>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lang w:val="en-US" w:eastAsia="zh-CN"/>
        </w:rPr>
        <w:t>（六）</w:t>
      </w:r>
      <w:r>
        <w:rPr>
          <w:rFonts w:hint="eastAsia" w:ascii="仿宋_GB2312" w:eastAsia="仿宋_GB2312"/>
          <w:sz w:val="32"/>
          <w:szCs w:val="32"/>
        </w:rPr>
        <w:t>工程现场抽查情况应纳入复审报告。</w:t>
      </w:r>
    </w:p>
    <w:p>
      <w:pPr>
        <w:pStyle w:val="6"/>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3" w:firstLineChars="200"/>
        <w:textAlignment w:val="auto"/>
        <w:outlineLvl w:val="9"/>
        <w:rPr>
          <w:rFonts w:eastAsia="仿宋_GB2312"/>
          <w:b/>
          <w:bCs/>
          <w:sz w:val="32"/>
          <w:szCs w:val="32"/>
        </w:rPr>
      </w:pPr>
      <w:r>
        <w:rPr>
          <w:rFonts w:hint="eastAsia" w:ascii="仿宋_GB2312" w:eastAsia="仿宋_GB2312"/>
          <w:b/>
          <w:bCs/>
          <w:sz w:val="32"/>
          <w:szCs w:val="32"/>
        </w:rPr>
        <w:t>第十七条</w:t>
      </w:r>
      <w:r>
        <w:rPr>
          <w:rFonts w:hint="eastAsia" w:eastAsia="仿宋_GB2312"/>
          <w:b/>
          <w:bCs/>
          <w:sz w:val="32"/>
          <w:szCs w:val="32"/>
          <w:lang w:val="en-US" w:eastAsia="zh-CN"/>
        </w:rPr>
        <w:t xml:space="preserve">  </w:t>
      </w:r>
      <w:r>
        <w:rPr>
          <w:rFonts w:hint="eastAsia" w:ascii="仿宋_GB2312" w:hAnsi="仿宋_GB2312" w:eastAsia="仿宋_GB2312"/>
          <w:color w:val="000000"/>
          <w:sz w:val="32"/>
          <w:szCs w:val="32"/>
        </w:rPr>
        <w:t>协会组织召开专家组全体会议，对现场复核成果进行审核，提出最终推荐评审工程名单。</w:t>
      </w:r>
    </w:p>
    <w:p>
      <w:pPr>
        <w:pStyle w:val="6"/>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3" w:firstLineChars="200"/>
        <w:textAlignment w:val="auto"/>
        <w:outlineLvl w:val="9"/>
        <w:rPr>
          <w:rFonts w:ascii="仿宋_GB2312" w:eastAsia="仿宋_GB2312"/>
          <w:sz w:val="32"/>
          <w:szCs w:val="32"/>
        </w:rPr>
      </w:pPr>
      <w:r>
        <w:rPr>
          <w:rFonts w:hint="eastAsia" w:ascii="仿宋_GB2312" w:eastAsia="仿宋_GB2312"/>
          <w:b/>
          <w:bCs/>
          <w:sz w:val="32"/>
          <w:szCs w:val="32"/>
        </w:rPr>
        <w:t>第十八条</w:t>
      </w:r>
      <w:r>
        <w:rPr>
          <w:rFonts w:hint="eastAsia" w:ascii="仿宋_GB2312" w:eastAsia="仿宋_GB2312"/>
          <w:b/>
          <w:bCs/>
          <w:sz w:val="32"/>
          <w:szCs w:val="32"/>
          <w:lang w:val="en-US" w:eastAsia="zh-CN"/>
        </w:rPr>
        <w:t xml:space="preserve">  </w:t>
      </w:r>
      <w:r>
        <w:rPr>
          <w:rFonts w:hint="eastAsia" w:ascii="仿宋_GB2312" w:eastAsia="仿宋_GB2312"/>
          <w:sz w:val="32"/>
          <w:szCs w:val="32"/>
        </w:rPr>
        <w:t>仪祉工程奖评审委员会召开</w:t>
      </w:r>
      <w:r>
        <w:rPr>
          <w:rFonts w:hint="eastAsia" w:ascii="仿宋_GB2312" w:eastAsia="仿宋_GB2312"/>
          <w:sz w:val="32"/>
          <w:szCs w:val="32"/>
          <w:lang w:val="en-US" w:eastAsia="zh-CN"/>
        </w:rPr>
        <w:t>综合</w:t>
      </w:r>
      <w:r>
        <w:rPr>
          <w:rFonts w:hint="eastAsia" w:ascii="仿宋_GB2312" w:eastAsia="仿宋_GB2312"/>
          <w:sz w:val="32"/>
          <w:szCs w:val="32"/>
        </w:rPr>
        <w:t>评审会议，通过查阅申报材料，观看工程声像资料，听取工程复审报告，经答疑、讨论、评议，采用实名投票方式进行表决。以获得2/3以上同意票确定获奖工程，获奖工程数量由</w:t>
      </w:r>
      <w:r>
        <w:rPr>
          <w:rFonts w:hint="eastAsia" w:ascii="仿宋_GB2312" w:eastAsia="仿宋_GB2312"/>
          <w:color w:val="000000" w:themeColor="text1"/>
          <w:sz w:val="32"/>
          <w:szCs w:val="32"/>
          <w14:textFill>
            <w14:solidFill>
              <w14:schemeClr w14:val="tx1"/>
            </w14:solidFill>
          </w14:textFill>
        </w:rPr>
        <w:t>仪祉工程奖</w:t>
      </w:r>
      <w:r>
        <w:rPr>
          <w:rFonts w:hint="eastAsia" w:ascii="仿宋_GB2312" w:eastAsia="仿宋_GB2312"/>
          <w:sz w:val="32"/>
          <w:szCs w:val="32"/>
        </w:rPr>
        <w:t>评审委员会根据申报情况确定。</w:t>
      </w:r>
    </w:p>
    <w:p>
      <w:pPr>
        <w:keepNext w:val="0"/>
        <w:keepLines w:val="0"/>
        <w:pageBreakBefore w:val="0"/>
        <w:kinsoku/>
        <w:wordWrap/>
        <w:overflowPunct/>
        <w:topLinePunct w:val="0"/>
        <w:autoSpaceDE/>
        <w:autoSpaceDN/>
        <w:bidi w:val="0"/>
        <w:adjustRightInd/>
        <w:snapToGrid/>
        <w:spacing w:before="100" w:beforeAutospacing="0" w:after="100" w:afterAutospacing="0" w:line="600" w:lineRule="exact"/>
        <w:ind w:firstLine="640"/>
        <w:textAlignment w:val="auto"/>
        <w:outlineLvl w:val="9"/>
      </w:pPr>
      <w:r>
        <w:rPr>
          <w:rFonts w:hint="eastAsia" w:ascii="宋体" w:hAnsi="宋体" w:eastAsia="仿宋_GB2312" w:cs="宋体"/>
          <w:b/>
          <w:bCs/>
          <w:kern w:val="0"/>
          <w:sz w:val="32"/>
          <w:szCs w:val="32"/>
          <w:lang w:val="en-US" w:eastAsia="zh-CN" w:bidi="ar-SA"/>
        </w:rPr>
        <w:t xml:space="preserve">第十九条  </w:t>
      </w:r>
      <w:r>
        <w:rPr>
          <w:rFonts w:hint="eastAsia" w:ascii="仿宋_GB2312" w:hAnsi="仿宋_GB2312" w:eastAsia="仿宋_GB2312"/>
          <w:color w:val="000000"/>
          <w:sz w:val="32"/>
          <w:szCs w:val="32"/>
        </w:rPr>
        <w:t>评审程序为：</w:t>
      </w:r>
    </w:p>
    <w:p>
      <w:pPr>
        <w:keepNext w:val="0"/>
        <w:keepLines w:val="0"/>
        <w:pageBreakBefore w:val="0"/>
        <w:kinsoku/>
        <w:wordWrap/>
        <w:overflowPunct/>
        <w:topLinePunct w:val="0"/>
        <w:autoSpaceDE/>
        <w:autoSpaceDN/>
        <w:bidi w:val="0"/>
        <w:adjustRightInd/>
        <w:snapToGrid/>
        <w:spacing w:before="100" w:beforeAutospacing="0" w:after="100" w:afterAutospacing="0" w:line="600" w:lineRule="exact"/>
        <w:ind w:firstLine="640"/>
        <w:textAlignment w:val="auto"/>
        <w:outlineLvl w:val="9"/>
      </w:pPr>
      <w:r>
        <w:rPr>
          <w:rFonts w:hint="eastAsia" w:ascii="仿宋_GB2312" w:hAnsi="仿宋_GB2312" w:eastAsia="仿宋_GB2312"/>
          <w:color w:val="000000"/>
          <w:sz w:val="32"/>
          <w:szCs w:val="32"/>
        </w:rPr>
        <w:t>（一）宣布</w:t>
      </w:r>
      <w:r>
        <w:rPr>
          <w:rFonts w:hint="eastAsia" w:ascii="仿宋_GB2312" w:hAnsi="仿宋_GB2312" w:eastAsia="仿宋_GB2312"/>
          <w:color w:val="000000"/>
          <w:sz w:val="32"/>
          <w:szCs w:val="32"/>
          <w:lang w:val="en-US" w:eastAsia="zh-CN"/>
        </w:rPr>
        <w:t>评审委员会</w:t>
      </w:r>
      <w:r>
        <w:rPr>
          <w:rFonts w:hint="eastAsia" w:ascii="仿宋_GB2312" w:hAnsi="仿宋_GB2312" w:eastAsia="仿宋_GB2312"/>
          <w:color w:val="000000"/>
          <w:sz w:val="32"/>
          <w:szCs w:val="32"/>
        </w:rPr>
        <w:t>组成名单；</w:t>
      </w:r>
    </w:p>
    <w:p>
      <w:pPr>
        <w:keepNext w:val="0"/>
        <w:keepLines w:val="0"/>
        <w:pageBreakBefore w:val="0"/>
        <w:kinsoku/>
        <w:wordWrap/>
        <w:overflowPunct/>
        <w:topLinePunct w:val="0"/>
        <w:autoSpaceDE/>
        <w:autoSpaceDN/>
        <w:bidi w:val="0"/>
        <w:adjustRightInd/>
        <w:snapToGrid/>
        <w:spacing w:before="100" w:beforeAutospacing="0" w:after="100" w:afterAutospacing="0" w:line="600" w:lineRule="exact"/>
        <w:ind w:firstLine="640"/>
        <w:textAlignment w:val="auto"/>
        <w:outlineLvl w:val="9"/>
      </w:pPr>
      <w:r>
        <w:rPr>
          <w:rFonts w:hint="eastAsia" w:ascii="仿宋_GB2312" w:hAnsi="仿宋_GB2312" w:eastAsia="仿宋_GB2312"/>
          <w:color w:val="000000"/>
          <w:sz w:val="32"/>
          <w:szCs w:val="32"/>
        </w:rPr>
        <w:t>（二）</w:t>
      </w:r>
      <w:r>
        <w:rPr>
          <w:rFonts w:hint="eastAsia" w:ascii="仿宋_GB2312" w:hAnsi="仿宋_GB2312" w:eastAsia="仿宋_GB2312"/>
          <w:color w:val="000000"/>
          <w:sz w:val="32"/>
          <w:szCs w:val="32"/>
          <w:lang w:val="en-US" w:eastAsia="zh-CN"/>
        </w:rPr>
        <w:t>评审委员会</w:t>
      </w:r>
      <w:r>
        <w:rPr>
          <w:rFonts w:hint="eastAsia" w:ascii="仿宋_GB2312" w:hAnsi="仿宋_GB2312" w:eastAsia="仿宋_GB2312"/>
          <w:color w:val="000000"/>
          <w:sz w:val="32"/>
          <w:szCs w:val="32"/>
        </w:rPr>
        <w:t>主任宣布评选原则；</w:t>
      </w:r>
    </w:p>
    <w:p>
      <w:pPr>
        <w:keepNext w:val="0"/>
        <w:keepLines w:val="0"/>
        <w:pageBreakBefore w:val="0"/>
        <w:kinsoku/>
        <w:wordWrap/>
        <w:overflowPunct/>
        <w:topLinePunct w:val="0"/>
        <w:autoSpaceDE/>
        <w:autoSpaceDN/>
        <w:bidi w:val="0"/>
        <w:adjustRightInd/>
        <w:snapToGrid/>
        <w:spacing w:before="100" w:beforeAutospacing="0" w:after="100" w:afterAutospacing="0" w:line="600" w:lineRule="exact"/>
        <w:ind w:firstLine="640"/>
        <w:textAlignment w:val="auto"/>
        <w:outlineLvl w:val="9"/>
      </w:pPr>
      <w:r>
        <w:rPr>
          <w:rFonts w:hint="eastAsia" w:ascii="仿宋_GB2312" w:hAnsi="仿宋_GB2312" w:eastAsia="仿宋_GB2312"/>
          <w:color w:val="000000"/>
          <w:sz w:val="32"/>
          <w:szCs w:val="32"/>
        </w:rPr>
        <w:t>（三）由协会汇报评选基本情况，专家组介绍项目现场复核情况，</w:t>
      </w:r>
      <w:r>
        <w:rPr>
          <w:rFonts w:hint="eastAsia" w:ascii="仿宋_GB2312" w:hAnsi="仿宋_GB2312" w:eastAsia="仿宋_GB2312"/>
          <w:color w:val="000000"/>
          <w:sz w:val="32"/>
          <w:szCs w:val="32"/>
          <w:lang w:val="en-US" w:eastAsia="zh-CN"/>
        </w:rPr>
        <w:t>评审委员会</w:t>
      </w:r>
      <w:r>
        <w:rPr>
          <w:rFonts w:hint="eastAsia" w:ascii="仿宋_GB2312" w:hAnsi="仿宋_GB2312" w:eastAsia="仿宋_GB2312"/>
          <w:color w:val="000000"/>
          <w:sz w:val="32"/>
          <w:szCs w:val="32"/>
        </w:rPr>
        <w:t>委员观看推荐参评项目视频资料、查看申报资料并质询；</w:t>
      </w:r>
    </w:p>
    <w:p>
      <w:pPr>
        <w:keepNext w:val="0"/>
        <w:keepLines w:val="0"/>
        <w:pageBreakBefore w:val="0"/>
        <w:kinsoku/>
        <w:wordWrap/>
        <w:overflowPunct/>
        <w:topLinePunct w:val="0"/>
        <w:autoSpaceDE/>
        <w:autoSpaceDN/>
        <w:bidi w:val="0"/>
        <w:adjustRightInd/>
        <w:snapToGrid/>
        <w:spacing w:before="100" w:beforeAutospacing="0" w:after="100" w:afterAutospacing="0" w:line="600" w:lineRule="exact"/>
        <w:ind w:firstLine="640"/>
        <w:textAlignment w:val="auto"/>
        <w:outlineLvl w:val="9"/>
      </w:pPr>
      <w:r>
        <w:rPr>
          <w:rFonts w:hint="eastAsia" w:ascii="仿宋_GB2312" w:hAnsi="仿宋_GB2312" w:eastAsia="仿宋_GB2312"/>
          <w:color w:val="000000"/>
          <w:sz w:val="32"/>
          <w:szCs w:val="32"/>
        </w:rPr>
        <w:t>（四）</w:t>
      </w:r>
      <w:r>
        <w:rPr>
          <w:rFonts w:hint="eastAsia" w:ascii="仿宋_GB2312" w:hAnsi="仿宋_GB2312" w:eastAsia="仿宋_GB2312"/>
          <w:color w:val="000000"/>
          <w:sz w:val="32"/>
          <w:szCs w:val="32"/>
          <w:lang w:val="en-US" w:eastAsia="zh-CN"/>
        </w:rPr>
        <w:t>评审委员会</w:t>
      </w:r>
      <w:r>
        <w:rPr>
          <w:rFonts w:hint="eastAsia" w:ascii="仿宋_GB2312" w:hAnsi="仿宋_GB2312" w:eastAsia="仿宋_GB2312"/>
          <w:color w:val="000000"/>
          <w:sz w:val="32"/>
          <w:szCs w:val="32"/>
        </w:rPr>
        <w:t>委员以记名投票方式表决；</w:t>
      </w:r>
    </w:p>
    <w:p>
      <w:pPr>
        <w:keepNext w:val="0"/>
        <w:keepLines w:val="0"/>
        <w:pageBreakBefore w:val="0"/>
        <w:kinsoku/>
        <w:wordWrap/>
        <w:overflowPunct/>
        <w:topLinePunct w:val="0"/>
        <w:autoSpaceDE/>
        <w:autoSpaceDN/>
        <w:bidi w:val="0"/>
        <w:adjustRightInd/>
        <w:snapToGrid/>
        <w:spacing w:before="100" w:beforeAutospacing="0" w:after="100" w:afterAutospacing="0" w:line="600" w:lineRule="exact"/>
        <w:ind w:firstLine="640"/>
        <w:textAlignment w:val="auto"/>
        <w:outlineLvl w:val="9"/>
      </w:pPr>
      <w:r>
        <w:rPr>
          <w:rFonts w:hint="eastAsia" w:ascii="仿宋_GB2312" w:hAnsi="仿宋_GB2312" w:eastAsia="仿宋_GB2312"/>
          <w:color w:val="000000"/>
          <w:sz w:val="32"/>
          <w:szCs w:val="32"/>
        </w:rPr>
        <w:t>（五）</w:t>
      </w:r>
      <w:r>
        <w:rPr>
          <w:rFonts w:hint="eastAsia" w:ascii="仿宋_GB2312" w:hAnsi="仿宋_GB2312" w:eastAsia="仿宋_GB2312"/>
          <w:color w:val="000000"/>
          <w:sz w:val="32"/>
          <w:szCs w:val="32"/>
          <w:lang w:val="en-US" w:eastAsia="zh-CN"/>
        </w:rPr>
        <w:t>评审委员会</w:t>
      </w:r>
      <w:r>
        <w:rPr>
          <w:rFonts w:hint="eastAsia" w:ascii="仿宋_GB2312" w:hAnsi="仿宋_GB2312" w:eastAsia="仿宋_GB2312"/>
          <w:color w:val="000000"/>
          <w:sz w:val="32"/>
          <w:szCs w:val="32"/>
        </w:rPr>
        <w:t>主任宣布评审结果。</w:t>
      </w:r>
    </w:p>
    <w:p>
      <w:pPr>
        <w:pStyle w:val="6"/>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3" w:firstLineChars="200"/>
        <w:textAlignment w:val="auto"/>
        <w:outlineLvl w:val="9"/>
        <w:rPr>
          <w:rFonts w:hint="eastAsia" w:ascii="仿宋_GB2312" w:eastAsia="仿宋_GB2312"/>
          <w:sz w:val="32"/>
          <w:szCs w:val="32"/>
        </w:rPr>
      </w:pPr>
      <w:r>
        <w:rPr>
          <w:rFonts w:hint="eastAsia" w:eastAsia="仿宋_GB2312"/>
          <w:b/>
          <w:bCs/>
          <w:sz w:val="32"/>
          <w:szCs w:val="32"/>
        </w:rPr>
        <w:t>第二十条</w:t>
      </w:r>
      <w:r>
        <w:rPr>
          <w:rFonts w:hint="eastAsia" w:eastAsia="仿宋_GB2312"/>
          <w:b/>
          <w:bCs/>
          <w:sz w:val="32"/>
          <w:szCs w:val="32"/>
          <w:lang w:val="en-US" w:eastAsia="zh-CN"/>
        </w:rPr>
        <w:t xml:space="preserve">  </w:t>
      </w:r>
      <w:r>
        <w:rPr>
          <w:rFonts w:hint="eastAsia" w:ascii="仿宋_GB2312" w:eastAsia="仿宋_GB2312"/>
          <w:sz w:val="32"/>
          <w:szCs w:val="32"/>
        </w:rPr>
        <w:t>评审结果在陕西省水利厅门户网站或协会门户网站上公示，</w:t>
      </w:r>
      <w:r>
        <w:rPr>
          <w:rFonts w:hint="eastAsia" w:ascii="仿宋_GB2312" w:eastAsia="仿宋_GB2312"/>
          <w:sz w:val="32"/>
          <w:szCs w:val="32"/>
          <w:lang w:val="en-US" w:eastAsia="zh-CN"/>
        </w:rPr>
        <w:t>公示期为5个工作日，</w:t>
      </w:r>
      <w:r>
        <w:rPr>
          <w:rFonts w:hint="eastAsia" w:ascii="仿宋_GB2312" w:eastAsia="仿宋_GB2312"/>
          <w:sz w:val="32"/>
          <w:szCs w:val="32"/>
        </w:rPr>
        <w:t>接受社会公众的监督。经公示无异议后，协会颁布获奖工程决定，并报水利厅备案。</w:t>
      </w:r>
    </w:p>
    <w:p>
      <w:pPr>
        <w:pStyle w:val="6"/>
        <w:keepNext w:val="0"/>
        <w:keepLines w:val="0"/>
        <w:pageBreakBefore w:val="0"/>
        <w:kinsoku/>
        <w:wordWrap/>
        <w:overflowPunct/>
        <w:topLinePunct w:val="0"/>
        <w:autoSpaceDE/>
        <w:autoSpaceDN/>
        <w:bidi w:val="0"/>
        <w:adjustRightInd/>
        <w:snapToGrid/>
        <w:spacing w:beforeAutospacing="0" w:afterAutospacing="0" w:line="600" w:lineRule="exact"/>
        <w:jc w:val="center"/>
        <w:textAlignment w:val="auto"/>
        <w:outlineLvl w:val="9"/>
        <w:rPr>
          <w:rFonts w:ascii="黑体" w:eastAsia="黑体"/>
          <w:bCs/>
          <w:sz w:val="32"/>
          <w:szCs w:val="32"/>
        </w:rPr>
      </w:pPr>
      <w:r>
        <w:rPr>
          <w:rFonts w:hint="eastAsia" w:ascii="黑体" w:eastAsia="黑体"/>
          <w:bCs/>
          <w:sz w:val="32"/>
          <w:szCs w:val="32"/>
        </w:rPr>
        <w:t>第</w:t>
      </w:r>
      <w:r>
        <w:rPr>
          <w:rFonts w:hint="eastAsia" w:ascii="黑体" w:eastAsia="黑体"/>
          <w:bCs/>
          <w:sz w:val="32"/>
          <w:szCs w:val="32"/>
          <w:lang w:val="en-US" w:eastAsia="zh-CN"/>
        </w:rPr>
        <w:t>五</w:t>
      </w:r>
      <w:r>
        <w:rPr>
          <w:rFonts w:hint="eastAsia" w:ascii="黑体" w:eastAsia="黑体"/>
          <w:bCs/>
          <w:sz w:val="32"/>
          <w:szCs w:val="32"/>
        </w:rPr>
        <w:t>章   奖</w:t>
      </w:r>
      <w:r>
        <w:rPr>
          <w:rFonts w:hint="eastAsia" w:ascii="黑体" w:eastAsia="黑体"/>
          <w:bCs/>
          <w:sz w:val="32"/>
          <w:szCs w:val="32"/>
          <w:lang w:val="en-US" w:eastAsia="zh-CN"/>
        </w:rPr>
        <w:t xml:space="preserve">  </w:t>
      </w:r>
      <w:r>
        <w:rPr>
          <w:rFonts w:hint="eastAsia" w:ascii="黑体" w:eastAsia="黑体"/>
          <w:bCs/>
          <w:sz w:val="32"/>
          <w:szCs w:val="32"/>
        </w:rPr>
        <w:t>励</w:t>
      </w:r>
    </w:p>
    <w:p>
      <w:pPr>
        <w:pStyle w:val="6"/>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3" w:firstLineChars="200"/>
        <w:textAlignment w:val="auto"/>
        <w:outlineLvl w:val="9"/>
        <w:rPr>
          <w:rFonts w:ascii="仿宋_GB2312" w:eastAsia="仿宋_GB2312"/>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第</w:t>
      </w:r>
      <w:r>
        <w:rPr>
          <w:rFonts w:hint="eastAsia" w:ascii="仿宋_GB2312" w:eastAsia="仿宋_GB2312"/>
          <w:b/>
          <w:bCs/>
          <w:color w:val="000000" w:themeColor="text1"/>
          <w:sz w:val="32"/>
          <w:szCs w:val="32"/>
          <w:lang w:val="en-US" w:eastAsia="zh-CN"/>
          <w14:textFill>
            <w14:solidFill>
              <w14:schemeClr w14:val="tx1"/>
            </w14:solidFill>
          </w14:textFill>
        </w:rPr>
        <w:t>二十一</w:t>
      </w:r>
      <w:r>
        <w:rPr>
          <w:rFonts w:hint="eastAsia" w:ascii="仿宋_GB2312" w:eastAsia="仿宋_GB2312"/>
          <w:b/>
          <w:bCs/>
          <w:color w:val="000000" w:themeColor="text1"/>
          <w:sz w:val="32"/>
          <w:szCs w:val="32"/>
          <w14:textFill>
            <w14:solidFill>
              <w14:schemeClr w14:val="tx1"/>
            </w14:solidFill>
          </w14:textFill>
        </w:rPr>
        <w:t xml:space="preserve">条  </w:t>
      </w:r>
      <w:r>
        <w:rPr>
          <w:rFonts w:hint="eastAsia" w:ascii="仿宋_GB2312" w:eastAsia="仿宋_GB2312"/>
          <w:color w:val="000000" w:themeColor="text1"/>
          <w:sz w:val="32"/>
          <w:szCs w:val="32"/>
          <w14:textFill>
            <w14:solidFill>
              <w14:schemeClr w14:val="tx1"/>
            </w14:solidFill>
          </w14:textFill>
        </w:rPr>
        <w:t>仪祉工程奖的奖励对象为项目法人（或建设单位）和主要参建单位及其主要贡献人员。</w:t>
      </w:r>
    </w:p>
    <w:p>
      <w:pPr>
        <w:pStyle w:val="6"/>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3" w:firstLineChars="200"/>
        <w:textAlignment w:val="auto"/>
        <w:outlineLvl w:val="9"/>
        <w:rPr>
          <w:rFonts w:ascii="仿宋_GB2312" w:eastAsia="仿宋_GB2312"/>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第二十</w:t>
      </w:r>
      <w:r>
        <w:rPr>
          <w:rFonts w:hint="eastAsia" w:ascii="仿宋_GB2312" w:eastAsia="仿宋_GB2312"/>
          <w:b/>
          <w:bCs/>
          <w:color w:val="000000" w:themeColor="text1"/>
          <w:sz w:val="32"/>
          <w:szCs w:val="32"/>
          <w:lang w:val="en-US" w:eastAsia="zh-CN"/>
          <w14:textFill>
            <w14:solidFill>
              <w14:schemeClr w14:val="tx1"/>
            </w14:solidFill>
          </w14:textFill>
        </w:rPr>
        <w:t>二</w:t>
      </w:r>
      <w:r>
        <w:rPr>
          <w:rFonts w:hint="eastAsia" w:ascii="仿宋_GB2312" w:eastAsia="仿宋_GB2312"/>
          <w:b/>
          <w:bCs/>
          <w:color w:val="000000" w:themeColor="text1"/>
          <w:sz w:val="32"/>
          <w:szCs w:val="32"/>
          <w14:textFill>
            <w14:solidFill>
              <w14:schemeClr w14:val="tx1"/>
            </w14:solidFill>
          </w14:textFill>
        </w:rPr>
        <w:t>条</w:t>
      </w:r>
      <w:r>
        <w:rPr>
          <w:rFonts w:hint="eastAsia" w:ascii="仿宋_GB2312" w:eastAsia="仿宋_GB2312"/>
          <w:color w:val="000000" w:themeColor="text1"/>
          <w:sz w:val="32"/>
          <w:szCs w:val="32"/>
          <w14:textFill>
            <w14:solidFill>
              <w14:schemeClr w14:val="tx1"/>
            </w14:solidFill>
          </w14:textFill>
        </w:rPr>
        <w:t xml:space="preserve">  奖励范围和名额</w:t>
      </w:r>
    </w:p>
    <w:p>
      <w:pPr>
        <w:pStyle w:val="6"/>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textAlignment w:val="auto"/>
        <w:outlineLvl w:val="9"/>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奖励的单位为</w:t>
      </w:r>
      <w:r>
        <w:rPr>
          <w:rFonts w:hint="eastAsia" w:ascii="仿宋_GB2312" w:eastAsia="仿宋_GB2312"/>
          <w:color w:val="000000" w:themeColor="text1"/>
          <w:sz w:val="32"/>
          <w:szCs w:val="32"/>
          <w14:textFill>
            <w14:solidFill>
              <w14:schemeClr w14:val="tx1"/>
            </w14:solidFill>
          </w14:textFill>
        </w:rPr>
        <w:t>项目法人</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勘察设计单位、监理单位、施工单位等主要参建单位。奖励的人员为主要</w:t>
      </w:r>
      <w:r>
        <w:rPr>
          <w:rFonts w:hint="eastAsia" w:ascii="仿宋_GB2312" w:eastAsia="仿宋_GB2312"/>
          <w:color w:val="000000" w:themeColor="text1"/>
          <w:sz w:val="32"/>
          <w:szCs w:val="32"/>
          <w14:textFill>
            <w14:solidFill>
              <w14:schemeClr w14:val="tx1"/>
            </w14:solidFill>
          </w14:textFill>
        </w:rPr>
        <w:t>参建单位主要贡献人员</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均不超过3人。</w:t>
      </w:r>
    </w:p>
    <w:p>
      <w:pPr>
        <w:pStyle w:val="6"/>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3" w:firstLineChars="200"/>
        <w:textAlignment w:val="auto"/>
        <w:outlineLvl w:val="9"/>
        <w:rPr>
          <w:rFonts w:ascii="仿宋_GB2312" w:eastAsia="仿宋_GB2312"/>
          <w:sz w:val="32"/>
          <w:szCs w:val="32"/>
        </w:rPr>
      </w:pPr>
      <w:r>
        <w:rPr>
          <w:rFonts w:hint="eastAsia" w:ascii="仿宋_GB2312" w:eastAsia="仿宋_GB2312"/>
          <w:b/>
          <w:bCs/>
          <w:sz w:val="32"/>
          <w:szCs w:val="32"/>
        </w:rPr>
        <w:t>第二十</w:t>
      </w:r>
      <w:r>
        <w:rPr>
          <w:rFonts w:hint="eastAsia" w:ascii="仿宋_GB2312" w:eastAsia="仿宋_GB2312"/>
          <w:b/>
          <w:bCs/>
          <w:sz w:val="32"/>
          <w:szCs w:val="32"/>
          <w:lang w:val="en-US" w:eastAsia="zh-CN"/>
        </w:rPr>
        <w:t>三</w:t>
      </w:r>
      <w:r>
        <w:rPr>
          <w:rFonts w:hint="eastAsia" w:ascii="仿宋_GB2312" w:eastAsia="仿宋_GB2312"/>
          <w:b/>
          <w:bCs/>
          <w:sz w:val="32"/>
          <w:szCs w:val="32"/>
        </w:rPr>
        <w:t>条</w:t>
      </w:r>
      <w:r>
        <w:rPr>
          <w:rFonts w:hint="eastAsia" w:eastAsia="仿宋_GB2312"/>
          <w:sz w:val="32"/>
          <w:szCs w:val="32"/>
        </w:rPr>
        <w:t xml:space="preserve">  </w:t>
      </w:r>
      <w:r>
        <w:rPr>
          <w:rFonts w:hint="eastAsia" w:ascii="仿宋_GB2312" w:eastAsia="仿宋_GB2312"/>
          <w:sz w:val="32"/>
          <w:szCs w:val="32"/>
        </w:rPr>
        <w:t>奖励</w:t>
      </w:r>
    </w:p>
    <w:p>
      <w:pPr>
        <w:pStyle w:val="6"/>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textAlignment w:val="auto"/>
        <w:outlineLvl w:val="9"/>
        <w:rPr>
          <w:rFonts w:hint="eastAsia" w:ascii="仿宋_GB2312" w:eastAsia="仿宋_GB2312"/>
          <w:sz w:val="32"/>
          <w:szCs w:val="32"/>
          <w:lang w:eastAsia="zh-CN"/>
        </w:rPr>
      </w:pPr>
      <w:r>
        <w:rPr>
          <w:rFonts w:hint="eastAsia" w:ascii="仿宋_GB2312" w:eastAsia="仿宋_GB2312"/>
          <w:sz w:val="32"/>
          <w:szCs w:val="32"/>
        </w:rPr>
        <w:t>（一）对获奖的单位授予</w:t>
      </w:r>
      <w:r>
        <w:rPr>
          <w:rFonts w:hint="eastAsia" w:ascii="仿宋_GB2312" w:eastAsia="仿宋_GB2312"/>
          <w:color w:val="000000" w:themeColor="text1"/>
          <w:sz w:val="32"/>
          <w:szCs w:val="32"/>
          <w14:textFill>
            <w14:solidFill>
              <w14:schemeClr w14:val="tx1"/>
            </w14:solidFill>
          </w14:textFill>
        </w:rPr>
        <w:t>仪祉工程奖</w:t>
      </w:r>
      <w:r>
        <w:rPr>
          <w:rFonts w:hint="eastAsia" w:ascii="仿宋_GB2312" w:eastAsia="仿宋_GB2312"/>
          <w:sz w:val="32"/>
          <w:szCs w:val="32"/>
        </w:rPr>
        <w:t>荣誉证书和奖牌，对获奖的主要人员授予荣誉证书（证书标明主要建设人员名单），并通报有关部门进行表彰</w:t>
      </w:r>
      <w:r>
        <w:rPr>
          <w:rFonts w:hint="eastAsia" w:ascii="仿宋_GB2312" w:eastAsia="仿宋_GB2312"/>
          <w:sz w:val="32"/>
          <w:szCs w:val="32"/>
          <w:lang w:eastAsia="zh-CN"/>
        </w:rPr>
        <w:t>；</w:t>
      </w:r>
    </w:p>
    <w:p>
      <w:pPr>
        <w:pStyle w:val="6"/>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textAlignment w:val="auto"/>
        <w:outlineLvl w:val="9"/>
        <w:rPr>
          <w:rFonts w:hint="eastAsia" w:ascii="仿宋_GB2312" w:eastAsia="仿宋_GB2312"/>
          <w:sz w:val="32"/>
          <w:szCs w:val="32"/>
          <w:lang w:eastAsia="zh-CN"/>
        </w:rPr>
      </w:pPr>
      <w:r>
        <w:rPr>
          <w:rFonts w:hint="eastAsia" w:ascii="仿宋_GB2312" w:eastAsia="仿宋_GB2312"/>
          <w:sz w:val="32"/>
          <w:szCs w:val="32"/>
        </w:rPr>
        <w:t>（二）获奖的有关信息</w:t>
      </w:r>
      <w:r>
        <w:rPr>
          <w:rFonts w:hint="eastAsia" w:ascii="仿宋_GB2312" w:eastAsia="仿宋_GB2312"/>
          <w:sz w:val="32"/>
          <w:szCs w:val="32"/>
          <w:lang w:val="en-US" w:eastAsia="zh-CN"/>
        </w:rPr>
        <w:t>可</w:t>
      </w:r>
      <w:r>
        <w:rPr>
          <w:rFonts w:hint="eastAsia" w:ascii="仿宋_GB2312" w:eastAsia="仿宋_GB2312"/>
          <w:sz w:val="32"/>
          <w:szCs w:val="32"/>
        </w:rPr>
        <w:t>记入陕西省水利建</w:t>
      </w:r>
      <w:r>
        <w:rPr>
          <w:rFonts w:hint="eastAsia" w:ascii="仿宋_GB2312" w:eastAsia="仿宋_GB2312"/>
          <w:sz w:val="32"/>
          <w:szCs w:val="32"/>
          <w:lang w:val="en-US" w:eastAsia="zh-CN"/>
        </w:rPr>
        <w:t>设</w:t>
      </w:r>
      <w:r>
        <w:rPr>
          <w:rFonts w:hint="eastAsia" w:ascii="仿宋_GB2312" w:eastAsia="仿宋_GB2312"/>
          <w:sz w:val="32"/>
          <w:szCs w:val="32"/>
        </w:rPr>
        <w:t>市场主体信用</w:t>
      </w:r>
      <w:r>
        <w:rPr>
          <w:rFonts w:hint="eastAsia" w:ascii="仿宋_GB2312" w:eastAsia="仿宋_GB2312"/>
          <w:sz w:val="32"/>
          <w:szCs w:val="32"/>
          <w:lang w:val="en-US" w:eastAsia="zh-CN"/>
        </w:rPr>
        <w:t>信息</w:t>
      </w:r>
      <w:r>
        <w:rPr>
          <w:rFonts w:hint="eastAsia" w:ascii="仿宋_GB2312" w:eastAsia="仿宋_GB2312"/>
          <w:sz w:val="32"/>
          <w:szCs w:val="32"/>
        </w:rPr>
        <w:t>档案</w:t>
      </w:r>
      <w:r>
        <w:rPr>
          <w:rFonts w:hint="eastAsia" w:ascii="仿宋_GB2312" w:eastAsia="仿宋_GB2312"/>
          <w:sz w:val="32"/>
          <w:szCs w:val="32"/>
          <w:lang w:val="en-US" w:eastAsia="zh-CN"/>
        </w:rPr>
        <w:t>，作为</w:t>
      </w:r>
      <w:r>
        <w:rPr>
          <w:rFonts w:hint="eastAsia" w:ascii="仿宋_GB2312" w:eastAsia="仿宋_GB2312"/>
          <w:sz w:val="32"/>
          <w:szCs w:val="32"/>
        </w:rPr>
        <w:t>投标人信誉</w:t>
      </w:r>
      <w:r>
        <w:rPr>
          <w:rFonts w:hint="eastAsia" w:ascii="仿宋_GB2312" w:eastAsia="仿宋_GB2312"/>
          <w:sz w:val="32"/>
          <w:szCs w:val="32"/>
          <w:lang w:val="en-US" w:eastAsia="zh-CN"/>
        </w:rPr>
        <w:t>加</w:t>
      </w:r>
      <w:r>
        <w:rPr>
          <w:rFonts w:hint="eastAsia" w:ascii="仿宋_GB2312" w:eastAsia="仿宋_GB2312"/>
          <w:sz w:val="32"/>
          <w:szCs w:val="32"/>
        </w:rPr>
        <w:t>分的重要因素</w:t>
      </w:r>
      <w:r>
        <w:rPr>
          <w:rFonts w:hint="eastAsia" w:ascii="仿宋_GB2312" w:eastAsia="仿宋_GB2312"/>
          <w:sz w:val="32"/>
          <w:szCs w:val="32"/>
          <w:lang w:eastAsia="zh-CN"/>
        </w:rPr>
        <w:t>；</w:t>
      </w:r>
    </w:p>
    <w:p>
      <w:pPr>
        <w:pStyle w:val="6"/>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（三）各有关部门和单位可根据情况对获奖工程主要参建人员给予一定奖励或激励措施。</w:t>
      </w:r>
    </w:p>
    <w:p>
      <w:pPr>
        <w:pStyle w:val="6"/>
        <w:keepNext w:val="0"/>
        <w:keepLines w:val="0"/>
        <w:pageBreakBefore w:val="0"/>
        <w:kinsoku/>
        <w:wordWrap/>
        <w:overflowPunct/>
        <w:topLinePunct w:val="0"/>
        <w:autoSpaceDE/>
        <w:autoSpaceDN/>
        <w:bidi w:val="0"/>
        <w:adjustRightInd/>
        <w:snapToGrid/>
        <w:spacing w:beforeAutospacing="0" w:afterAutospacing="0" w:line="600" w:lineRule="exact"/>
        <w:jc w:val="center"/>
        <w:textAlignment w:val="auto"/>
        <w:outlineLvl w:val="9"/>
        <w:rPr>
          <w:rFonts w:ascii="黑体" w:eastAsia="黑体"/>
          <w:bCs/>
          <w:sz w:val="32"/>
          <w:szCs w:val="32"/>
        </w:rPr>
      </w:pPr>
      <w:r>
        <w:rPr>
          <w:rFonts w:hint="eastAsia" w:ascii="黑体" w:eastAsia="黑体"/>
          <w:bCs/>
          <w:sz w:val="32"/>
          <w:szCs w:val="32"/>
        </w:rPr>
        <w:t>第</w:t>
      </w:r>
      <w:r>
        <w:rPr>
          <w:rFonts w:hint="eastAsia" w:ascii="黑体" w:eastAsia="黑体"/>
          <w:bCs/>
          <w:sz w:val="32"/>
          <w:szCs w:val="32"/>
          <w:lang w:val="en-US" w:eastAsia="zh-CN"/>
        </w:rPr>
        <w:t>六</w:t>
      </w:r>
      <w:r>
        <w:rPr>
          <w:rFonts w:hint="eastAsia" w:ascii="黑体" w:eastAsia="黑体"/>
          <w:bCs/>
          <w:sz w:val="32"/>
          <w:szCs w:val="32"/>
        </w:rPr>
        <w:t>章   附</w:t>
      </w:r>
      <w:r>
        <w:rPr>
          <w:rFonts w:hint="eastAsia" w:ascii="黑体" w:eastAsia="黑体"/>
          <w:bCs/>
          <w:sz w:val="32"/>
          <w:szCs w:val="32"/>
          <w:lang w:val="en-US" w:eastAsia="zh-CN"/>
        </w:rPr>
        <w:t xml:space="preserve">  </w:t>
      </w:r>
      <w:r>
        <w:rPr>
          <w:rFonts w:hint="eastAsia" w:ascii="黑体" w:eastAsia="黑体"/>
          <w:bCs/>
          <w:sz w:val="32"/>
          <w:szCs w:val="32"/>
        </w:rPr>
        <w:t>则</w:t>
      </w:r>
    </w:p>
    <w:p>
      <w:pPr>
        <w:pStyle w:val="6"/>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3" w:firstLineChars="200"/>
        <w:textAlignment w:val="auto"/>
        <w:outlineLvl w:val="9"/>
        <w:rPr>
          <w:rFonts w:ascii="仿宋_GB2312" w:hAnsi="仿宋_GB2312" w:eastAsia="仿宋_GB2312"/>
          <w:color w:val="000000"/>
          <w:sz w:val="32"/>
          <w:szCs w:val="32"/>
        </w:rPr>
      </w:pPr>
      <w:r>
        <w:rPr>
          <w:rFonts w:hint="eastAsia" w:ascii="仿宋_GB2312" w:eastAsia="仿宋_GB2312"/>
          <w:b/>
          <w:color w:val="000000" w:themeColor="text1"/>
          <w:sz w:val="32"/>
          <w:szCs w:val="32"/>
          <w14:textFill>
            <w14:solidFill>
              <w14:schemeClr w14:val="tx1"/>
            </w14:solidFill>
          </w14:textFill>
        </w:rPr>
        <w:t>第二十</w:t>
      </w:r>
      <w:r>
        <w:rPr>
          <w:rFonts w:hint="eastAsia" w:ascii="仿宋_GB2312" w:eastAsia="仿宋_GB2312"/>
          <w:b/>
          <w:color w:val="000000" w:themeColor="text1"/>
          <w:sz w:val="32"/>
          <w:szCs w:val="32"/>
          <w:lang w:val="en-US" w:eastAsia="zh-CN"/>
          <w14:textFill>
            <w14:solidFill>
              <w14:schemeClr w14:val="tx1"/>
            </w14:solidFill>
          </w14:textFill>
        </w:rPr>
        <w:t>四</w:t>
      </w:r>
      <w:r>
        <w:rPr>
          <w:rFonts w:hint="eastAsia" w:ascii="仿宋_GB2312" w:eastAsia="仿宋_GB2312"/>
          <w:b/>
          <w:color w:val="000000" w:themeColor="text1"/>
          <w:sz w:val="32"/>
          <w:szCs w:val="32"/>
          <w14:textFill>
            <w14:solidFill>
              <w14:schemeClr w14:val="tx1"/>
            </w14:solidFill>
          </w14:textFill>
        </w:rPr>
        <w:t>条</w:t>
      </w:r>
      <w:r>
        <w:rPr>
          <w:rFonts w:hint="eastAsia" w:ascii="仿宋_GB2312" w:eastAsia="仿宋_GB2312"/>
          <w:color w:val="0000FF"/>
          <w:sz w:val="32"/>
          <w:szCs w:val="32"/>
        </w:rPr>
        <w:t xml:space="preserve">  </w:t>
      </w:r>
      <w:r>
        <w:rPr>
          <w:rFonts w:hint="eastAsia" w:ascii="仿宋_GB2312" w:hAnsi="仿宋_GB2312" w:eastAsia="仿宋_GB2312"/>
          <w:color w:val="000000"/>
          <w:sz w:val="32"/>
          <w:szCs w:val="32"/>
        </w:rPr>
        <w:t>申报单位在评选工作中，不得以弄虚作假等不正当手段谋取仪祉</w:t>
      </w:r>
      <w:r>
        <w:rPr>
          <w:rFonts w:hint="eastAsia" w:ascii="仿宋_GB2312" w:hAnsi="仿宋_GB2312" w:eastAsia="仿宋_GB2312"/>
          <w:color w:val="000000"/>
          <w:sz w:val="32"/>
          <w:szCs w:val="32"/>
          <w:lang w:val="en-US" w:eastAsia="zh-CN"/>
        </w:rPr>
        <w:t>工程</w:t>
      </w:r>
      <w:r>
        <w:rPr>
          <w:rFonts w:hint="eastAsia" w:ascii="仿宋_GB2312" w:hAnsi="仿宋_GB2312" w:eastAsia="仿宋_GB2312"/>
          <w:color w:val="000000"/>
          <w:sz w:val="32"/>
          <w:szCs w:val="32"/>
        </w:rPr>
        <w:t>奖。对违反者，视其情节轻重，给予警告、直至撤消申报和获奖资格。</w:t>
      </w:r>
    </w:p>
    <w:p>
      <w:pPr>
        <w:pStyle w:val="6"/>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textAlignment w:val="auto"/>
        <w:outlineLvl w:val="9"/>
        <w:rPr>
          <w:rFonts w:ascii="仿宋_GB2312" w:eastAsia="仿宋_GB2312"/>
          <w:color w:val="0000FF"/>
          <w:sz w:val="32"/>
          <w:szCs w:val="32"/>
        </w:rPr>
      </w:pPr>
      <w:r>
        <w:rPr>
          <w:rFonts w:hint="eastAsia" w:ascii="仿宋_GB2312" w:hAnsi="仿宋_GB2312" w:eastAsia="仿宋_GB2312"/>
          <w:color w:val="000000"/>
          <w:sz w:val="32"/>
          <w:szCs w:val="32"/>
        </w:rPr>
        <w:t>有关工作人员在评选工作中玩忽职守、滥用职权、徇私舞弊的，按行业自律有关规定给予处罚；构成犯罪的，依法追究其刑事责任。</w:t>
      </w:r>
    </w:p>
    <w:p>
      <w:pPr>
        <w:pStyle w:val="6"/>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3" w:firstLineChars="200"/>
        <w:textAlignment w:val="auto"/>
        <w:outlineLvl w:val="9"/>
        <w:rPr>
          <w:rFonts w:ascii="仿宋_GB2312" w:eastAsia="仿宋_GB2312"/>
          <w:sz w:val="32"/>
          <w:szCs w:val="32"/>
        </w:rPr>
      </w:pPr>
      <w:r>
        <w:rPr>
          <w:rFonts w:hint="eastAsia" w:ascii="仿宋_GB2312" w:eastAsia="仿宋_GB2312"/>
          <w:b/>
          <w:sz w:val="32"/>
          <w:szCs w:val="32"/>
        </w:rPr>
        <w:t>第二十</w:t>
      </w:r>
      <w:r>
        <w:rPr>
          <w:rFonts w:hint="eastAsia" w:ascii="仿宋_GB2312" w:eastAsia="仿宋_GB2312"/>
          <w:b/>
          <w:sz w:val="32"/>
          <w:szCs w:val="32"/>
          <w:lang w:val="en-US" w:eastAsia="zh-CN"/>
        </w:rPr>
        <w:t>五</w:t>
      </w:r>
      <w:r>
        <w:rPr>
          <w:rFonts w:hint="eastAsia" w:ascii="仿宋_GB2312" w:eastAsia="仿宋_GB2312"/>
          <w:b/>
          <w:sz w:val="32"/>
          <w:szCs w:val="32"/>
        </w:rPr>
        <w:t>条</w:t>
      </w:r>
      <w:r>
        <w:rPr>
          <w:rFonts w:hint="eastAsia" w:ascii="仿宋_GB2312" w:eastAsia="仿宋_GB2312"/>
          <w:sz w:val="32"/>
          <w:szCs w:val="32"/>
        </w:rPr>
        <w:t xml:space="preserve">  本办法由协会负责解释。</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3" w:firstLineChars="200"/>
        <w:textAlignment w:val="auto"/>
        <w:outlineLvl w:val="9"/>
        <w:rPr>
          <w:rFonts w:ascii="仿宋_GB2312" w:eastAsia="仿宋_GB2312"/>
          <w:color w:val="000000" w:themeColor="text1"/>
          <w:sz w:val="30"/>
          <w:szCs w:val="30"/>
          <w14:textFill>
            <w14:solidFill>
              <w14:schemeClr w14:val="tx1"/>
            </w14:solidFill>
          </w14:textFill>
        </w:rPr>
      </w:pPr>
      <w:r>
        <w:rPr>
          <w:rFonts w:hint="eastAsia" w:ascii="仿宋_GB2312" w:eastAsia="仿宋_GB2312"/>
          <w:b/>
          <w:sz w:val="32"/>
          <w:szCs w:val="32"/>
        </w:rPr>
        <w:t>第二十</w:t>
      </w:r>
      <w:r>
        <w:rPr>
          <w:rFonts w:hint="eastAsia" w:ascii="仿宋_GB2312" w:eastAsia="仿宋_GB2312"/>
          <w:b/>
          <w:sz w:val="32"/>
          <w:szCs w:val="32"/>
          <w:lang w:val="en-US" w:eastAsia="zh-CN"/>
        </w:rPr>
        <w:t>六</w:t>
      </w:r>
      <w:r>
        <w:rPr>
          <w:rFonts w:hint="eastAsia" w:ascii="仿宋_GB2312" w:eastAsia="仿宋_GB2312"/>
          <w:b/>
          <w:sz w:val="32"/>
          <w:szCs w:val="32"/>
        </w:rPr>
        <w:t>条</w:t>
      </w:r>
      <w:r>
        <w:rPr>
          <w:rFonts w:hint="eastAsia" w:ascii="仿宋_GB2312" w:eastAsia="仿宋_GB2312"/>
          <w:sz w:val="32"/>
          <w:szCs w:val="32"/>
        </w:rPr>
        <w:t xml:space="preserve">  本办法自公布之日起执行</w:t>
      </w:r>
      <w:r>
        <w:rPr>
          <w:rFonts w:hint="eastAsia" w:ascii="仿宋_GB2312" w:eastAsia="仿宋_GB2312"/>
          <w:color w:val="000000" w:themeColor="text1"/>
          <w:sz w:val="32"/>
          <w:szCs w:val="32"/>
          <w14:textFill>
            <w14:solidFill>
              <w14:schemeClr w14:val="tx1"/>
            </w14:solidFill>
          </w14:textFill>
        </w:rPr>
        <w:t>。</w:t>
      </w:r>
    </w:p>
    <w:sectPr>
      <w:pgSz w:w="11906" w:h="16838"/>
      <w:pgMar w:top="1701" w:right="1474" w:bottom="113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 w:name="方正小标宋简体">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JlMjlhYjI3MDQ5NjI2NTIxYWU1ZjdiMDMzNDUwMzcifQ=="/>
  </w:docVars>
  <w:rsids>
    <w:rsidRoot w:val="001562B1"/>
    <w:rsid w:val="000047FA"/>
    <w:rsid w:val="000101F4"/>
    <w:rsid w:val="00055F22"/>
    <w:rsid w:val="0007537D"/>
    <w:rsid w:val="000832F1"/>
    <w:rsid w:val="00084431"/>
    <w:rsid w:val="00087C42"/>
    <w:rsid w:val="000A1D46"/>
    <w:rsid w:val="000D2E21"/>
    <w:rsid w:val="001316FB"/>
    <w:rsid w:val="001406FF"/>
    <w:rsid w:val="001534C9"/>
    <w:rsid w:val="001562B1"/>
    <w:rsid w:val="001635AE"/>
    <w:rsid w:val="0016401D"/>
    <w:rsid w:val="00180D21"/>
    <w:rsid w:val="00181C70"/>
    <w:rsid w:val="001847A9"/>
    <w:rsid w:val="001C06AA"/>
    <w:rsid w:val="001D57A6"/>
    <w:rsid w:val="00204C0E"/>
    <w:rsid w:val="002353AB"/>
    <w:rsid w:val="0024761A"/>
    <w:rsid w:val="002715D1"/>
    <w:rsid w:val="00292727"/>
    <w:rsid w:val="002A06DB"/>
    <w:rsid w:val="002C1C61"/>
    <w:rsid w:val="002E1520"/>
    <w:rsid w:val="002E1DDA"/>
    <w:rsid w:val="002F0B66"/>
    <w:rsid w:val="002F4DEE"/>
    <w:rsid w:val="00312190"/>
    <w:rsid w:val="00322A32"/>
    <w:rsid w:val="00323185"/>
    <w:rsid w:val="00326347"/>
    <w:rsid w:val="00363DE6"/>
    <w:rsid w:val="00394710"/>
    <w:rsid w:val="003A3206"/>
    <w:rsid w:val="003E33B1"/>
    <w:rsid w:val="003F2359"/>
    <w:rsid w:val="003F5764"/>
    <w:rsid w:val="00434B47"/>
    <w:rsid w:val="00462F5A"/>
    <w:rsid w:val="00491E0E"/>
    <w:rsid w:val="004C1D9A"/>
    <w:rsid w:val="004C373E"/>
    <w:rsid w:val="004F0F94"/>
    <w:rsid w:val="00506D74"/>
    <w:rsid w:val="00521CCB"/>
    <w:rsid w:val="00597F02"/>
    <w:rsid w:val="005D68A5"/>
    <w:rsid w:val="005F21F1"/>
    <w:rsid w:val="005F50E9"/>
    <w:rsid w:val="00615E11"/>
    <w:rsid w:val="00653337"/>
    <w:rsid w:val="00686772"/>
    <w:rsid w:val="006949A7"/>
    <w:rsid w:val="006E13CD"/>
    <w:rsid w:val="007117A3"/>
    <w:rsid w:val="007266D8"/>
    <w:rsid w:val="0073419A"/>
    <w:rsid w:val="0077781F"/>
    <w:rsid w:val="00790FE9"/>
    <w:rsid w:val="007F5421"/>
    <w:rsid w:val="00827992"/>
    <w:rsid w:val="00850335"/>
    <w:rsid w:val="00871373"/>
    <w:rsid w:val="00897B26"/>
    <w:rsid w:val="008D31C5"/>
    <w:rsid w:val="00965F59"/>
    <w:rsid w:val="0096753F"/>
    <w:rsid w:val="00970440"/>
    <w:rsid w:val="00970764"/>
    <w:rsid w:val="009A1ABE"/>
    <w:rsid w:val="009B4EA9"/>
    <w:rsid w:val="009C73DD"/>
    <w:rsid w:val="009C76BD"/>
    <w:rsid w:val="009F5356"/>
    <w:rsid w:val="00A02C55"/>
    <w:rsid w:val="00A15031"/>
    <w:rsid w:val="00A2538B"/>
    <w:rsid w:val="00A4009A"/>
    <w:rsid w:val="00A8229C"/>
    <w:rsid w:val="00A915C3"/>
    <w:rsid w:val="00AC62A1"/>
    <w:rsid w:val="00B04A48"/>
    <w:rsid w:val="00B20D53"/>
    <w:rsid w:val="00B20E90"/>
    <w:rsid w:val="00B41CF4"/>
    <w:rsid w:val="00B76B37"/>
    <w:rsid w:val="00B812E4"/>
    <w:rsid w:val="00B87E93"/>
    <w:rsid w:val="00BB308B"/>
    <w:rsid w:val="00BB5109"/>
    <w:rsid w:val="00BE0089"/>
    <w:rsid w:val="00C076FD"/>
    <w:rsid w:val="00C37E88"/>
    <w:rsid w:val="00C61820"/>
    <w:rsid w:val="00C621BB"/>
    <w:rsid w:val="00C8333A"/>
    <w:rsid w:val="00C867EF"/>
    <w:rsid w:val="00C95670"/>
    <w:rsid w:val="00CA1FE8"/>
    <w:rsid w:val="00CB1524"/>
    <w:rsid w:val="00CC3DFC"/>
    <w:rsid w:val="00CD2474"/>
    <w:rsid w:val="00CE3951"/>
    <w:rsid w:val="00D21926"/>
    <w:rsid w:val="00D70573"/>
    <w:rsid w:val="00D71E32"/>
    <w:rsid w:val="00D74A43"/>
    <w:rsid w:val="00DC7470"/>
    <w:rsid w:val="00DE1FBE"/>
    <w:rsid w:val="00DE4452"/>
    <w:rsid w:val="00DF219F"/>
    <w:rsid w:val="00DF2637"/>
    <w:rsid w:val="00E01DB7"/>
    <w:rsid w:val="00E0586D"/>
    <w:rsid w:val="00E07902"/>
    <w:rsid w:val="00E125BB"/>
    <w:rsid w:val="00E210A7"/>
    <w:rsid w:val="00E308B9"/>
    <w:rsid w:val="00E33710"/>
    <w:rsid w:val="00E35ADE"/>
    <w:rsid w:val="00E60371"/>
    <w:rsid w:val="00E830E8"/>
    <w:rsid w:val="00E91367"/>
    <w:rsid w:val="00EA51BB"/>
    <w:rsid w:val="00EA78C9"/>
    <w:rsid w:val="00EB673E"/>
    <w:rsid w:val="00EF2FD0"/>
    <w:rsid w:val="00F015C3"/>
    <w:rsid w:val="00F3381B"/>
    <w:rsid w:val="00F410CA"/>
    <w:rsid w:val="00F43A55"/>
    <w:rsid w:val="00F44354"/>
    <w:rsid w:val="00F73D2D"/>
    <w:rsid w:val="00FA3AB8"/>
    <w:rsid w:val="00FC132F"/>
    <w:rsid w:val="00FD0A7A"/>
    <w:rsid w:val="00FE5362"/>
    <w:rsid w:val="00FE5B94"/>
    <w:rsid w:val="00FE603D"/>
    <w:rsid w:val="02C31DDF"/>
    <w:rsid w:val="03593735"/>
    <w:rsid w:val="0B913F24"/>
    <w:rsid w:val="0BC53F48"/>
    <w:rsid w:val="0D7E4AA5"/>
    <w:rsid w:val="0E4F3DA6"/>
    <w:rsid w:val="0E8118CF"/>
    <w:rsid w:val="0EB5602A"/>
    <w:rsid w:val="108A7F1F"/>
    <w:rsid w:val="12151A70"/>
    <w:rsid w:val="19400172"/>
    <w:rsid w:val="1AB56719"/>
    <w:rsid w:val="20AD3855"/>
    <w:rsid w:val="213B1584"/>
    <w:rsid w:val="26B42BB7"/>
    <w:rsid w:val="2980112B"/>
    <w:rsid w:val="2CF30D04"/>
    <w:rsid w:val="2D1A5526"/>
    <w:rsid w:val="322D2960"/>
    <w:rsid w:val="33CC771A"/>
    <w:rsid w:val="35D47165"/>
    <w:rsid w:val="388929AD"/>
    <w:rsid w:val="39B0057A"/>
    <w:rsid w:val="3B1A3D5C"/>
    <w:rsid w:val="41217C8E"/>
    <w:rsid w:val="413F51BC"/>
    <w:rsid w:val="43623563"/>
    <w:rsid w:val="47F162D0"/>
    <w:rsid w:val="484E31F0"/>
    <w:rsid w:val="48826319"/>
    <w:rsid w:val="4AA551DD"/>
    <w:rsid w:val="4C2929ED"/>
    <w:rsid w:val="51084ED7"/>
    <w:rsid w:val="517A2D70"/>
    <w:rsid w:val="51B46D2E"/>
    <w:rsid w:val="52E37BC5"/>
    <w:rsid w:val="58D80509"/>
    <w:rsid w:val="5CD82EE9"/>
    <w:rsid w:val="5EDC15C9"/>
    <w:rsid w:val="5F2D4C38"/>
    <w:rsid w:val="631870CE"/>
    <w:rsid w:val="651E197A"/>
    <w:rsid w:val="65C36974"/>
    <w:rsid w:val="69A94AF3"/>
    <w:rsid w:val="6D315998"/>
    <w:rsid w:val="701C5532"/>
    <w:rsid w:val="760A505C"/>
    <w:rsid w:val="771764D0"/>
    <w:rsid w:val="7879359A"/>
    <w:rsid w:val="788A7A5C"/>
    <w:rsid w:val="7C627D78"/>
    <w:rsid w:val="7E2D7E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2">
    <w:name w:val="Plain Text"/>
    <w:basedOn w:val="1"/>
    <w:autoRedefine/>
    <w:qFormat/>
    <w:uiPriority w:val="0"/>
    <w:rPr>
      <w:rFonts w:ascii="宋体" w:hAnsi="Courier New" w:cs="Courier New"/>
      <w:szCs w:val="21"/>
    </w:rPr>
  </w:style>
  <w:style w:type="paragraph" w:styleId="3">
    <w:name w:val="Balloon Text"/>
    <w:basedOn w:val="1"/>
    <w:semiHidden/>
    <w:qFormat/>
    <w:uiPriority w:val="0"/>
    <w:rPr>
      <w:sz w:val="18"/>
      <w:szCs w:val="18"/>
    </w:rPr>
  </w:style>
  <w:style w:type="paragraph" w:styleId="4">
    <w:name w:val="footer"/>
    <w:basedOn w:val="1"/>
    <w:link w:val="10"/>
    <w:autoRedefine/>
    <w:qFormat/>
    <w:uiPriority w:val="0"/>
    <w:pPr>
      <w:tabs>
        <w:tab w:val="center" w:pos="4153"/>
        <w:tab w:val="right" w:pos="8306"/>
      </w:tabs>
      <w:snapToGrid w:val="0"/>
      <w:jc w:val="left"/>
    </w:pPr>
    <w:rPr>
      <w:sz w:val="18"/>
      <w:szCs w:val="18"/>
    </w:rPr>
  </w:style>
  <w:style w:type="paragraph" w:styleId="5">
    <w:name w:val="header"/>
    <w:basedOn w:val="1"/>
    <w:link w:val="9"/>
    <w:autoRedefine/>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customStyle="1" w:styleId="9">
    <w:name w:val="页眉 Char"/>
    <w:basedOn w:val="8"/>
    <w:link w:val="5"/>
    <w:qFormat/>
    <w:uiPriority w:val="0"/>
    <w:rPr>
      <w:kern w:val="2"/>
      <w:sz w:val="18"/>
      <w:szCs w:val="18"/>
    </w:rPr>
  </w:style>
  <w:style w:type="character" w:customStyle="1" w:styleId="10">
    <w:name w:val="页脚 Char"/>
    <w:basedOn w:val="8"/>
    <w:link w:val="4"/>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2842</Words>
  <Characters>2853</Characters>
  <Lines>21</Lines>
  <Paragraphs>6</Paragraphs>
  <TotalTime>7</TotalTime>
  <ScaleCrop>false</ScaleCrop>
  <LinksUpToDate>false</LinksUpToDate>
  <CharactersWithSpaces>2926</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2021-03-05T08:55:00Z</dcterms:created>
  <dc:creator>hp</dc:creator>
  <cp:lastModifiedBy> 李媛</cp:lastModifiedBy>
  <cp:lastPrinted>2009-10-28T01:15:00Z</cp:lastPrinted>
  <dcterms:modified xsi:type="dcterms:W3CDTF">2024-04-01T01:33:10Z</dcterms:modified>
  <dc:title>陕西省水利工程优质奖评选办法</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38A65153CD4543A6B5DFC595A51C036D_13</vt:lpwstr>
  </property>
</Properties>
</file>